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D874" w14:textId="77777777" w:rsidR="00501C7B" w:rsidRPr="00EA5F2D" w:rsidRDefault="00EA5F2D" w:rsidP="00CD04A1">
      <w:pPr>
        <w:jc w:val="center"/>
        <w:rPr>
          <w:rFonts w:ascii="Century Gothic" w:hAnsi="Century Gothic"/>
          <w:b/>
          <w:sz w:val="72"/>
          <w:szCs w:val="72"/>
        </w:rPr>
      </w:pPr>
      <w:r w:rsidRPr="00EA5F2D">
        <w:rPr>
          <w:rFonts w:ascii="Century Gothic" w:hAnsi="Century Gothic"/>
          <w:b/>
          <w:sz w:val="72"/>
          <w:szCs w:val="72"/>
        </w:rPr>
        <w:t>Bratton Primary School</w:t>
      </w:r>
    </w:p>
    <w:p w14:paraId="16AC9D5B" w14:textId="77777777" w:rsidR="00501C7B" w:rsidRDefault="00501C7B" w:rsidP="00501C7B">
      <w:pPr>
        <w:rPr>
          <w:rFonts w:ascii="Century Gothic" w:hAnsi="Century Gothic"/>
          <w:b/>
          <w:u w:val="single"/>
        </w:rPr>
      </w:pPr>
    </w:p>
    <w:p w14:paraId="771D5CE9" w14:textId="77777777" w:rsidR="00501C7B" w:rsidRDefault="00EA5F2D" w:rsidP="00501C7B">
      <w:pPr>
        <w:rPr>
          <w:rFonts w:ascii="Century Gothic" w:hAnsi="Century Gothic"/>
          <w:b/>
          <w:u w:val="single"/>
        </w:rPr>
      </w:pPr>
      <w:r>
        <w:rPr>
          <w:noProof/>
        </w:rPr>
        <w:drawing>
          <wp:anchor distT="0" distB="0" distL="114300" distR="114300" simplePos="0" relativeHeight="251658240" behindDoc="0" locked="0" layoutInCell="1" allowOverlap="1" wp14:anchorId="09D7D919" wp14:editId="38B04F6D">
            <wp:simplePos x="0" y="0"/>
            <wp:positionH relativeFrom="column">
              <wp:posOffset>1209675</wp:posOffset>
            </wp:positionH>
            <wp:positionV relativeFrom="paragraph">
              <wp:posOffset>82550</wp:posOffset>
            </wp:positionV>
            <wp:extent cx="3140710" cy="314071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0710" cy="314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240F8" w14:textId="77777777" w:rsidR="00501C7B" w:rsidRDefault="00501C7B" w:rsidP="00501C7B">
      <w:pPr>
        <w:rPr>
          <w:rFonts w:ascii="Century Gothic" w:hAnsi="Century Gothic"/>
          <w:b/>
          <w:u w:val="single"/>
        </w:rPr>
      </w:pPr>
    </w:p>
    <w:p w14:paraId="6C033A57" w14:textId="77777777" w:rsidR="00501C7B" w:rsidRDefault="00501C7B" w:rsidP="00501C7B">
      <w:pPr>
        <w:rPr>
          <w:rFonts w:ascii="Century Gothic" w:hAnsi="Century Gothic"/>
          <w:b/>
          <w:u w:val="single"/>
        </w:rPr>
      </w:pPr>
    </w:p>
    <w:p w14:paraId="52E20A0D" w14:textId="77777777" w:rsidR="00501C7B" w:rsidRDefault="00501C7B" w:rsidP="00501C7B">
      <w:pPr>
        <w:rPr>
          <w:rFonts w:ascii="Century Gothic" w:hAnsi="Century Gothic"/>
          <w:b/>
          <w:u w:val="single"/>
        </w:rPr>
      </w:pPr>
    </w:p>
    <w:p w14:paraId="44A864AC" w14:textId="77777777" w:rsidR="00501C7B" w:rsidRDefault="00501C7B" w:rsidP="00501C7B">
      <w:pPr>
        <w:rPr>
          <w:rFonts w:ascii="Century Gothic" w:hAnsi="Century Gothic"/>
          <w:b/>
          <w:u w:val="single"/>
        </w:rPr>
      </w:pPr>
    </w:p>
    <w:p w14:paraId="0B2AED0F" w14:textId="77777777" w:rsidR="00501C7B" w:rsidRDefault="00501C7B" w:rsidP="00501C7B">
      <w:pPr>
        <w:rPr>
          <w:rFonts w:ascii="Century Gothic" w:hAnsi="Century Gothic"/>
          <w:b/>
          <w:u w:val="single"/>
        </w:rPr>
      </w:pPr>
    </w:p>
    <w:p w14:paraId="08D5125F" w14:textId="77777777" w:rsidR="00501C7B" w:rsidRDefault="00501C7B" w:rsidP="00501C7B">
      <w:pPr>
        <w:rPr>
          <w:rFonts w:ascii="Century Gothic" w:hAnsi="Century Gothic"/>
          <w:b/>
          <w:u w:val="single"/>
        </w:rPr>
      </w:pPr>
    </w:p>
    <w:p w14:paraId="712E89A5" w14:textId="77777777" w:rsidR="00501C7B" w:rsidRDefault="00501C7B" w:rsidP="00501C7B">
      <w:pPr>
        <w:rPr>
          <w:rFonts w:ascii="Century Gothic" w:hAnsi="Century Gothic"/>
          <w:b/>
          <w:u w:val="single"/>
        </w:rPr>
      </w:pPr>
    </w:p>
    <w:p w14:paraId="2163758E" w14:textId="77777777" w:rsidR="00501C7B" w:rsidRDefault="00501C7B" w:rsidP="00501C7B">
      <w:pPr>
        <w:rPr>
          <w:rFonts w:ascii="Century Gothic" w:hAnsi="Century Gothic"/>
          <w:b/>
          <w:u w:val="single"/>
        </w:rPr>
      </w:pPr>
    </w:p>
    <w:p w14:paraId="7FA190BD" w14:textId="77777777" w:rsidR="00501C7B" w:rsidRDefault="00501C7B" w:rsidP="00501C7B">
      <w:pPr>
        <w:rPr>
          <w:rFonts w:ascii="Century Gothic" w:hAnsi="Century Gothic"/>
          <w:b/>
          <w:u w:val="single"/>
        </w:rPr>
      </w:pPr>
    </w:p>
    <w:p w14:paraId="743A9FCA" w14:textId="77777777" w:rsidR="00501C7B" w:rsidRDefault="00501C7B" w:rsidP="00501C7B">
      <w:pPr>
        <w:rPr>
          <w:rFonts w:ascii="Century Gothic" w:hAnsi="Century Gothic"/>
          <w:b/>
          <w:u w:val="single"/>
        </w:rPr>
      </w:pPr>
    </w:p>
    <w:p w14:paraId="0810EF6A" w14:textId="77777777" w:rsidR="00501C7B" w:rsidRPr="00EA5F2D" w:rsidRDefault="00501C7B" w:rsidP="00EA5F2D">
      <w:pPr>
        <w:jc w:val="center"/>
        <w:rPr>
          <w:rFonts w:ascii="Century Gothic" w:hAnsi="Century Gothic"/>
          <w:b/>
          <w:sz w:val="52"/>
          <w:szCs w:val="52"/>
        </w:rPr>
      </w:pPr>
    </w:p>
    <w:p w14:paraId="0CBD5FB2" w14:textId="281A763E" w:rsidR="00501C7B" w:rsidRPr="00CD04A1" w:rsidRDefault="004E6B7E" w:rsidP="00EA5F2D">
      <w:pPr>
        <w:jc w:val="center"/>
        <w:rPr>
          <w:rFonts w:ascii="Century Gothic" w:hAnsi="Century Gothic"/>
          <w:b/>
          <w:sz w:val="72"/>
          <w:szCs w:val="72"/>
          <w:u w:val="single"/>
        </w:rPr>
      </w:pPr>
      <w:r>
        <w:rPr>
          <w:rFonts w:ascii="Century Gothic" w:hAnsi="Century Gothic"/>
          <w:b/>
          <w:sz w:val="72"/>
          <w:szCs w:val="72"/>
          <w:u w:val="single"/>
        </w:rPr>
        <w:t xml:space="preserve">LOTC/Trip </w:t>
      </w:r>
      <w:r w:rsidR="00043F6D">
        <w:rPr>
          <w:rFonts w:ascii="Century Gothic" w:hAnsi="Century Gothic"/>
          <w:b/>
          <w:sz w:val="72"/>
          <w:szCs w:val="72"/>
          <w:u w:val="single"/>
        </w:rPr>
        <w:t>Policy</w:t>
      </w:r>
    </w:p>
    <w:p w14:paraId="580CED41" w14:textId="77777777" w:rsidR="00501C7B" w:rsidRDefault="00501C7B" w:rsidP="00CD04A1">
      <w:pPr>
        <w:jc w:val="center"/>
        <w:rPr>
          <w:rFonts w:ascii="Century Gothic" w:hAnsi="Century Gothic"/>
          <w:b/>
        </w:rPr>
      </w:pPr>
    </w:p>
    <w:p w14:paraId="02F6BC4C" w14:textId="77777777" w:rsidR="00CD04A1" w:rsidRPr="00CD04A1" w:rsidRDefault="00CD04A1" w:rsidP="00CD04A1">
      <w:pPr>
        <w:jc w:val="center"/>
        <w:rPr>
          <w:rFonts w:ascii="Century Gothic" w:hAnsi="Century Gothic"/>
          <w:b/>
          <w:u w:val="single"/>
        </w:rPr>
      </w:pPr>
    </w:p>
    <w:p w14:paraId="4EA24F61" w14:textId="77777777" w:rsidR="00501C7B" w:rsidRPr="00F92303" w:rsidRDefault="00EA5F2D" w:rsidP="00154D9C">
      <w:pPr>
        <w:jc w:val="center"/>
        <w:rPr>
          <w:rFonts w:ascii="Century Gothic" w:hAnsi="Century Gothic"/>
        </w:rPr>
      </w:pPr>
      <w:r w:rsidRPr="00F92303">
        <w:rPr>
          <w:rFonts w:ascii="Century Gothic" w:hAnsi="Century Gothic"/>
        </w:rPr>
        <w:t>This p</w:t>
      </w:r>
      <w:r w:rsidR="00A76019" w:rsidRPr="00F92303">
        <w:rPr>
          <w:rFonts w:ascii="Century Gothic" w:hAnsi="Century Gothic"/>
        </w:rPr>
        <w:t>lan</w:t>
      </w:r>
      <w:r w:rsidRPr="00F92303">
        <w:rPr>
          <w:rFonts w:ascii="Century Gothic" w:hAnsi="Century Gothic"/>
        </w:rPr>
        <w:t xml:space="preserve"> has been reviewed to reflect the principles and practice within the context of the expectations of the school’s normal working environment.</w:t>
      </w:r>
      <w:r w:rsidR="00154D9C" w:rsidRPr="00F92303">
        <w:rPr>
          <w:rFonts w:ascii="Century Gothic" w:hAnsi="Century Gothic"/>
        </w:rPr>
        <w:t xml:space="preserve"> </w:t>
      </w:r>
      <w:r w:rsidR="00E339F2" w:rsidRPr="00F92303">
        <w:rPr>
          <w:rFonts w:ascii="Century Gothic" w:hAnsi="Century Gothic"/>
        </w:rPr>
        <w:br/>
      </w:r>
      <w:r w:rsidR="00E339F2" w:rsidRPr="00F92303">
        <w:rPr>
          <w:rFonts w:ascii="Century Gothic" w:hAnsi="Century Gothic"/>
        </w:rPr>
        <w:br/>
      </w:r>
      <w:r w:rsidR="00154D9C" w:rsidRPr="00F92303">
        <w:rPr>
          <w:rFonts w:ascii="Century Gothic" w:hAnsi="Century Gothic"/>
        </w:rPr>
        <w:t>Guidance and wording on this p</w:t>
      </w:r>
      <w:r w:rsidR="00A76019" w:rsidRPr="00F92303">
        <w:rPr>
          <w:rFonts w:ascii="Century Gothic" w:hAnsi="Century Gothic"/>
        </w:rPr>
        <w:t>lan</w:t>
      </w:r>
      <w:r w:rsidR="00154D9C" w:rsidRPr="00F92303">
        <w:rPr>
          <w:rFonts w:ascii="Century Gothic" w:hAnsi="Century Gothic"/>
        </w:rPr>
        <w:t xml:space="preserve"> </w:t>
      </w:r>
      <w:proofErr w:type="gramStart"/>
      <w:r w:rsidR="00154D9C" w:rsidRPr="00F92303">
        <w:rPr>
          <w:rFonts w:ascii="Century Gothic" w:hAnsi="Century Gothic"/>
        </w:rPr>
        <w:t>is</w:t>
      </w:r>
      <w:proofErr w:type="gramEnd"/>
      <w:r w:rsidR="00154D9C" w:rsidRPr="00F92303">
        <w:rPr>
          <w:rFonts w:ascii="Century Gothic" w:hAnsi="Century Gothic"/>
        </w:rPr>
        <w:t xml:space="preserve"> provided by Bratton Primary School.</w:t>
      </w:r>
    </w:p>
    <w:p w14:paraId="43CC16AE" w14:textId="77777777" w:rsidR="00154D9C" w:rsidRPr="00F92303" w:rsidRDefault="00154D9C" w:rsidP="00501C7B">
      <w:pPr>
        <w:rPr>
          <w:rFonts w:ascii="Century Gothic" w:hAnsi="Century Gothic"/>
        </w:rPr>
      </w:pPr>
    </w:p>
    <w:p w14:paraId="078EE4E9" w14:textId="77777777" w:rsidR="00CD04A1" w:rsidRPr="00F92303" w:rsidRDefault="00CD04A1" w:rsidP="00501C7B">
      <w:pPr>
        <w:rPr>
          <w:rFonts w:ascii="Century Gothic" w:hAnsi="Century Gothic"/>
        </w:rPr>
      </w:pPr>
    </w:p>
    <w:p w14:paraId="0FF06E01" w14:textId="77777777" w:rsidR="00CD04A1" w:rsidRPr="00F92303" w:rsidRDefault="00CD04A1" w:rsidP="00501C7B">
      <w:pPr>
        <w:rPr>
          <w:rFonts w:ascii="Century Gothic" w:hAnsi="Century Gothic"/>
        </w:rPr>
      </w:pPr>
    </w:p>
    <w:p w14:paraId="15B8C80D" w14:textId="77777777" w:rsidR="00501C7B" w:rsidRPr="00F92303" w:rsidRDefault="00501C7B" w:rsidP="00501C7B">
      <w:pPr>
        <w:rPr>
          <w:rFonts w:ascii="Century Gothic" w:hAnsi="Century Gothic"/>
          <w:b/>
          <w:u w:val="single"/>
        </w:rPr>
      </w:pPr>
    </w:p>
    <w:p w14:paraId="6CDF4A3A" w14:textId="77777777" w:rsidR="00043F6D" w:rsidRPr="00F92303" w:rsidRDefault="00043F6D" w:rsidP="00501C7B">
      <w:pPr>
        <w:rPr>
          <w:rFonts w:ascii="Century Gothic" w:hAnsi="Century Gothic"/>
          <w:b/>
          <w:u w:val="single"/>
        </w:rPr>
      </w:pPr>
    </w:p>
    <w:p w14:paraId="4D2F730E" w14:textId="1A36F6C0" w:rsidR="00043F6D" w:rsidRDefault="00043F6D" w:rsidP="00501C7B">
      <w:pPr>
        <w:rPr>
          <w:rFonts w:ascii="Century Gothic" w:hAnsi="Century Gothic"/>
          <w:b/>
          <w:u w:val="single"/>
        </w:rPr>
      </w:pPr>
    </w:p>
    <w:p w14:paraId="49A4EF81" w14:textId="77777777" w:rsidR="004E6B7E" w:rsidRPr="00F92303" w:rsidRDefault="004E6B7E" w:rsidP="00501C7B">
      <w:pPr>
        <w:rPr>
          <w:rFonts w:ascii="Century Gothic" w:hAnsi="Century Gothic"/>
          <w:b/>
          <w:u w:val="single"/>
        </w:rPr>
      </w:pPr>
    </w:p>
    <w:p w14:paraId="305DADCA" w14:textId="77777777" w:rsidR="00043F6D" w:rsidRPr="004E6B7E" w:rsidRDefault="00043F6D" w:rsidP="00043F6D">
      <w:pPr>
        <w:pStyle w:val="Default"/>
        <w:rPr>
          <w:rFonts w:ascii="Century Gothic" w:hAnsi="Century Gothic"/>
          <w:sz w:val="22"/>
          <w:szCs w:val="22"/>
        </w:rPr>
      </w:pPr>
    </w:p>
    <w:p w14:paraId="0F5CF5ED" w14:textId="77777777" w:rsidR="004E6B7E" w:rsidRPr="004E6B7E" w:rsidRDefault="004E6B7E" w:rsidP="004E6B7E">
      <w:pPr>
        <w:contextualSpacing/>
        <w:jc w:val="center"/>
        <w:rPr>
          <w:rFonts w:ascii="Century Gothic" w:eastAsia="Calibri" w:hAnsi="Century Gothic" w:cstheme="minorHAnsi"/>
          <w:b/>
        </w:rPr>
      </w:pPr>
      <w:r w:rsidRPr="004E6B7E">
        <w:rPr>
          <w:rFonts w:ascii="Century Gothic" w:eastAsia="Calibri" w:hAnsi="Century Gothic" w:cstheme="minorHAnsi"/>
          <w:b/>
        </w:rPr>
        <w:t xml:space="preserve">Learning Outside the Classroom / Educational Visits Policy </w:t>
      </w:r>
    </w:p>
    <w:p w14:paraId="7C534289" w14:textId="77777777" w:rsidR="004E6B7E" w:rsidRPr="004E6B7E" w:rsidRDefault="004E6B7E" w:rsidP="004E6B7E">
      <w:pPr>
        <w:contextualSpacing/>
        <w:rPr>
          <w:rFonts w:ascii="Century Gothic" w:eastAsia="Calibri" w:hAnsi="Century Gothic" w:cstheme="minorHAnsi"/>
          <w:b/>
        </w:rPr>
      </w:pPr>
    </w:p>
    <w:p w14:paraId="212C7FE0" w14:textId="77777777" w:rsidR="004E6B7E" w:rsidRPr="004E6B7E" w:rsidRDefault="004E6B7E" w:rsidP="004E6B7E">
      <w:pPr>
        <w:pStyle w:val="ListParagraph"/>
        <w:numPr>
          <w:ilvl w:val="0"/>
          <w:numId w:val="39"/>
        </w:numPr>
        <w:spacing w:line="276" w:lineRule="auto"/>
        <w:ind w:left="284" w:hanging="284"/>
        <w:rPr>
          <w:rFonts w:ascii="Century Gothic" w:hAnsi="Century Gothic" w:cstheme="minorHAnsi"/>
          <w:b/>
        </w:rPr>
      </w:pPr>
      <w:r w:rsidRPr="004E6B7E">
        <w:rPr>
          <w:rFonts w:ascii="Century Gothic" w:hAnsi="Century Gothic" w:cstheme="minorHAnsi"/>
          <w:b/>
        </w:rPr>
        <w:t>Introduction</w:t>
      </w:r>
    </w:p>
    <w:p w14:paraId="433282D3"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Bratton Primary School considers it vital that we maintain a broad and balanced curriculum. This includes ensuring that all pupils have opportunity to experience first-hand and have chance to take part in educational activities outside the classroom. The aim of this policy is to sustain and promote a broad range of off-site educational visits whilst ensuring safe management practices and effective supervision. </w:t>
      </w:r>
    </w:p>
    <w:p w14:paraId="03D1B950" w14:textId="77777777" w:rsidR="004E6B7E" w:rsidRPr="004E6B7E" w:rsidRDefault="004E6B7E" w:rsidP="004E6B7E">
      <w:pPr>
        <w:contextualSpacing/>
        <w:rPr>
          <w:rFonts w:ascii="Century Gothic" w:eastAsia="Calibri" w:hAnsi="Century Gothic" w:cstheme="minorHAnsi"/>
        </w:rPr>
      </w:pPr>
    </w:p>
    <w:p w14:paraId="1FBEF1AE"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We believe that educational visits outside of school, including residential opportunities, encourage cooperation, team work and the application of </w:t>
      </w:r>
      <w:proofErr w:type="gramStart"/>
      <w:r w:rsidRPr="004E6B7E">
        <w:rPr>
          <w:rFonts w:ascii="Century Gothic" w:eastAsia="Calibri" w:hAnsi="Century Gothic" w:cstheme="minorHAnsi"/>
        </w:rPr>
        <w:t>problem solving</w:t>
      </w:r>
      <w:proofErr w:type="gramEnd"/>
      <w:r w:rsidRPr="004E6B7E">
        <w:rPr>
          <w:rFonts w:ascii="Century Gothic" w:eastAsia="Calibri" w:hAnsi="Century Gothic" w:cstheme="minorHAnsi"/>
        </w:rPr>
        <w:t xml:space="preserve"> skills and develop independence and self-confidence. We therefore ensure that they are built into our curriculum and are designed to support, enrich and extend opportunities for teaching and learning. </w:t>
      </w:r>
    </w:p>
    <w:p w14:paraId="7B4A5BDA" w14:textId="77777777" w:rsidR="004E6B7E" w:rsidRPr="004E6B7E" w:rsidRDefault="004E6B7E" w:rsidP="004E6B7E">
      <w:pPr>
        <w:contextualSpacing/>
        <w:rPr>
          <w:rFonts w:ascii="Century Gothic" w:eastAsia="Calibri" w:hAnsi="Century Gothic" w:cstheme="minorHAnsi"/>
        </w:rPr>
      </w:pPr>
    </w:p>
    <w:p w14:paraId="6EB2AA83"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This policy and procedures are formulated in conjunction with the advice, guidance and support provided by the Wiltshire Council Learning Outside the Classroom Service.</w:t>
      </w:r>
    </w:p>
    <w:p w14:paraId="57444838" w14:textId="77777777" w:rsidR="004E6B7E" w:rsidRPr="004E6B7E" w:rsidRDefault="004E6B7E" w:rsidP="004E6B7E">
      <w:pPr>
        <w:contextualSpacing/>
        <w:rPr>
          <w:rFonts w:ascii="Century Gothic" w:eastAsia="Calibri" w:hAnsi="Century Gothic" w:cstheme="minorHAnsi"/>
        </w:rPr>
      </w:pPr>
    </w:p>
    <w:p w14:paraId="71936415"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For further information see;</w:t>
      </w:r>
    </w:p>
    <w:p w14:paraId="3E736E5E"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OEAP NG</w:t>
      </w:r>
    </w:p>
    <w:p w14:paraId="6D5DE5FC" w14:textId="77777777" w:rsidR="004E6B7E" w:rsidRPr="004E6B7E" w:rsidRDefault="004E6B7E" w:rsidP="004E6B7E">
      <w:pPr>
        <w:contextualSpacing/>
        <w:rPr>
          <w:rFonts w:ascii="Century Gothic" w:eastAsia="Calibri" w:hAnsi="Century Gothic" w:cstheme="minorHAnsi"/>
          <w:b/>
        </w:rPr>
      </w:pPr>
    </w:p>
    <w:p w14:paraId="464CEC95" w14:textId="77777777" w:rsidR="004E6B7E" w:rsidRPr="004E6B7E" w:rsidRDefault="004E6B7E" w:rsidP="004E6B7E">
      <w:pPr>
        <w:pStyle w:val="ListParagraph"/>
        <w:numPr>
          <w:ilvl w:val="0"/>
          <w:numId w:val="39"/>
        </w:numPr>
        <w:spacing w:line="276" w:lineRule="auto"/>
        <w:ind w:left="284" w:hanging="284"/>
        <w:rPr>
          <w:rFonts w:ascii="Century Gothic" w:hAnsi="Century Gothic" w:cstheme="minorHAnsi"/>
          <w:b/>
        </w:rPr>
      </w:pPr>
      <w:r w:rsidRPr="004E6B7E">
        <w:rPr>
          <w:rFonts w:ascii="Century Gothic" w:hAnsi="Century Gothic" w:cstheme="minorHAnsi"/>
          <w:b/>
        </w:rPr>
        <w:t>Context relative to employer’s policies and national guidance</w:t>
      </w:r>
    </w:p>
    <w:p w14:paraId="101CE9AC"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Bratton Primary School subscribes to the Wiltshire Council Learning Outside the Classroom Service which has adopted OEAP National Guidance as the foundation of its work. As part of this agreement the school accepts the recommendations and expert guidance provided by the Learning Outside the Classroom Safety Adviser as good practise.</w:t>
      </w:r>
    </w:p>
    <w:p w14:paraId="403D2149" w14:textId="77777777" w:rsidR="004E6B7E" w:rsidRPr="004E6B7E" w:rsidRDefault="004E6B7E" w:rsidP="004E6B7E">
      <w:pPr>
        <w:contextualSpacing/>
        <w:rPr>
          <w:rFonts w:ascii="Century Gothic" w:eastAsia="Calibri" w:hAnsi="Century Gothic" w:cstheme="minorHAnsi"/>
        </w:rPr>
      </w:pPr>
    </w:p>
    <w:p w14:paraId="0432B10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This policy should be considered in the context of the following school policies and national guidance;</w:t>
      </w:r>
    </w:p>
    <w:p w14:paraId="27BE4CA2" w14:textId="77777777" w:rsidR="004E6B7E" w:rsidRPr="004E6B7E" w:rsidRDefault="004E6B7E" w:rsidP="004E6B7E">
      <w:pPr>
        <w:numPr>
          <w:ilvl w:val="0"/>
          <w:numId w:val="31"/>
        </w:numPr>
        <w:spacing w:after="200"/>
        <w:contextualSpacing/>
        <w:rPr>
          <w:rFonts w:ascii="Century Gothic" w:eastAsia="Calibri" w:hAnsi="Century Gothic" w:cstheme="minorHAnsi"/>
        </w:rPr>
      </w:pPr>
      <w:r w:rsidRPr="004E6B7E">
        <w:rPr>
          <w:rFonts w:ascii="Century Gothic" w:eastAsia="Calibri" w:hAnsi="Century Gothic" w:cstheme="minorHAnsi"/>
        </w:rPr>
        <w:t>Child protection and safeguarding policy</w:t>
      </w:r>
    </w:p>
    <w:p w14:paraId="4A8EBCB1" w14:textId="77777777" w:rsidR="004E6B7E" w:rsidRPr="004E6B7E" w:rsidRDefault="004E6B7E" w:rsidP="004E6B7E">
      <w:pPr>
        <w:numPr>
          <w:ilvl w:val="0"/>
          <w:numId w:val="31"/>
        </w:numPr>
        <w:spacing w:after="200"/>
        <w:contextualSpacing/>
        <w:rPr>
          <w:rFonts w:ascii="Century Gothic" w:eastAsia="Calibri" w:hAnsi="Century Gothic" w:cstheme="minorHAnsi"/>
        </w:rPr>
      </w:pPr>
      <w:r w:rsidRPr="004E6B7E">
        <w:rPr>
          <w:rFonts w:ascii="Century Gothic" w:eastAsia="Calibri" w:hAnsi="Century Gothic" w:cstheme="minorHAnsi"/>
        </w:rPr>
        <w:t xml:space="preserve">SEN / Disability policy </w:t>
      </w:r>
    </w:p>
    <w:p w14:paraId="60E9A3F9" w14:textId="77777777" w:rsidR="004E6B7E" w:rsidRPr="004E6B7E" w:rsidRDefault="004E6B7E" w:rsidP="004E6B7E">
      <w:pPr>
        <w:numPr>
          <w:ilvl w:val="0"/>
          <w:numId w:val="31"/>
        </w:numPr>
        <w:spacing w:after="200"/>
        <w:contextualSpacing/>
        <w:rPr>
          <w:rFonts w:ascii="Century Gothic" w:eastAsia="Calibri" w:hAnsi="Century Gothic" w:cstheme="minorHAnsi"/>
        </w:rPr>
      </w:pPr>
      <w:r w:rsidRPr="004E6B7E">
        <w:rPr>
          <w:rFonts w:ascii="Century Gothic" w:eastAsia="Calibri" w:hAnsi="Century Gothic" w:cstheme="minorHAnsi"/>
        </w:rPr>
        <w:t xml:space="preserve">Code of Conduct for Teaching and Support Staff </w:t>
      </w:r>
    </w:p>
    <w:p w14:paraId="7E4460D8" w14:textId="77777777" w:rsidR="004E6B7E" w:rsidRPr="004E6B7E" w:rsidRDefault="004E6B7E" w:rsidP="004E6B7E">
      <w:pPr>
        <w:numPr>
          <w:ilvl w:val="0"/>
          <w:numId w:val="31"/>
        </w:numPr>
        <w:spacing w:after="200"/>
        <w:contextualSpacing/>
        <w:rPr>
          <w:rFonts w:ascii="Century Gothic" w:eastAsia="Calibri" w:hAnsi="Century Gothic" w:cstheme="minorHAnsi"/>
        </w:rPr>
      </w:pPr>
      <w:r w:rsidRPr="004E6B7E">
        <w:rPr>
          <w:rFonts w:ascii="Century Gothic" w:eastAsia="Calibri" w:hAnsi="Century Gothic" w:cstheme="minorHAnsi"/>
        </w:rPr>
        <w:t>Charging for School Activities</w:t>
      </w:r>
    </w:p>
    <w:p w14:paraId="2044330F" w14:textId="77777777" w:rsidR="004E6B7E" w:rsidRPr="004E6B7E" w:rsidRDefault="004E6B7E" w:rsidP="004E6B7E">
      <w:pPr>
        <w:numPr>
          <w:ilvl w:val="0"/>
          <w:numId w:val="31"/>
        </w:numPr>
        <w:spacing w:after="200"/>
        <w:contextualSpacing/>
        <w:rPr>
          <w:rFonts w:ascii="Century Gothic" w:eastAsia="Calibri" w:hAnsi="Century Gothic" w:cstheme="minorHAnsi"/>
        </w:rPr>
      </w:pPr>
      <w:r w:rsidRPr="004E6B7E">
        <w:rPr>
          <w:rFonts w:ascii="Century Gothic" w:hAnsi="Century Gothic" w:cstheme="minorHAnsi"/>
        </w:rPr>
        <w:t>Outdoor Education Advisers Panel National Guidance</w:t>
      </w:r>
    </w:p>
    <w:p w14:paraId="73679233" w14:textId="77777777" w:rsidR="004E6B7E" w:rsidRPr="004E6B7E" w:rsidRDefault="004E6B7E" w:rsidP="004E6B7E">
      <w:pPr>
        <w:pStyle w:val="ListParagraph"/>
        <w:numPr>
          <w:ilvl w:val="0"/>
          <w:numId w:val="31"/>
        </w:numPr>
        <w:spacing w:line="240" w:lineRule="auto"/>
        <w:rPr>
          <w:rFonts w:ascii="Century Gothic" w:hAnsi="Century Gothic" w:cstheme="minorHAnsi"/>
        </w:rPr>
      </w:pPr>
      <w:r w:rsidRPr="004E6B7E">
        <w:rPr>
          <w:rFonts w:ascii="Century Gothic" w:hAnsi="Century Gothic" w:cstheme="minorHAnsi"/>
        </w:rPr>
        <w:t>Education and Inspections Act 2006</w:t>
      </w:r>
    </w:p>
    <w:p w14:paraId="6760A0DE" w14:textId="77777777" w:rsidR="004E6B7E" w:rsidRPr="004E6B7E" w:rsidRDefault="004E6B7E" w:rsidP="004E6B7E">
      <w:pPr>
        <w:pStyle w:val="ListParagraph"/>
        <w:numPr>
          <w:ilvl w:val="0"/>
          <w:numId w:val="31"/>
        </w:numPr>
        <w:spacing w:line="240" w:lineRule="auto"/>
        <w:rPr>
          <w:rFonts w:ascii="Century Gothic" w:hAnsi="Century Gothic" w:cstheme="minorHAnsi"/>
        </w:rPr>
      </w:pPr>
      <w:r w:rsidRPr="004E6B7E">
        <w:rPr>
          <w:rFonts w:ascii="Century Gothic" w:hAnsi="Century Gothic" w:cstheme="minorHAnsi"/>
        </w:rPr>
        <w:t>The Equality Act 2010</w:t>
      </w:r>
    </w:p>
    <w:p w14:paraId="010845AF" w14:textId="77777777" w:rsidR="004E6B7E" w:rsidRPr="004E6B7E" w:rsidRDefault="004E6B7E" w:rsidP="004E6B7E">
      <w:pPr>
        <w:pStyle w:val="ListParagraph"/>
        <w:numPr>
          <w:ilvl w:val="0"/>
          <w:numId w:val="31"/>
        </w:numPr>
        <w:spacing w:line="240" w:lineRule="auto"/>
        <w:rPr>
          <w:rFonts w:ascii="Century Gothic" w:hAnsi="Century Gothic" w:cstheme="minorHAnsi"/>
        </w:rPr>
      </w:pPr>
      <w:r w:rsidRPr="004E6B7E">
        <w:rPr>
          <w:rFonts w:ascii="Century Gothic" w:hAnsi="Century Gothic" w:cstheme="minorHAnsi"/>
        </w:rPr>
        <w:t>DCSF ‘Working Together to Safeguard Children 2016</w:t>
      </w:r>
    </w:p>
    <w:p w14:paraId="356606AB" w14:textId="77777777" w:rsidR="004E6B7E" w:rsidRPr="004E6B7E" w:rsidRDefault="004E6B7E" w:rsidP="004E6B7E">
      <w:pPr>
        <w:pStyle w:val="ListParagraph"/>
        <w:numPr>
          <w:ilvl w:val="0"/>
          <w:numId w:val="31"/>
        </w:numPr>
        <w:spacing w:line="240" w:lineRule="auto"/>
        <w:rPr>
          <w:rFonts w:ascii="Century Gothic" w:hAnsi="Century Gothic" w:cstheme="minorHAnsi"/>
        </w:rPr>
      </w:pPr>
      <w:r w:rsidRPr="004E6B7E">
        <w:rPr>
          <w:rFonts w:ascii="Century Gothic" w:hAnsi="Century Gothic" w:cstheme="minorHAnsi"/>
        </w:rPr>
        <w:t>Ofsted inspection framework 2015</w:t>
      </w:r>
    </w:p>
    <w:p w14:paraId="261A9B86" w14:textId="77777777" w:rsidR="004E6B7E" w:rsidRPr="004E6B7E" w:rsidRDefault="004E6B7E" w:rsidP="004E6B7E">
      <w:pPr>
        <w:pStyle w:val="ListParagraph"/>
        <w:numPr>
          <w:ilvl w:val="0"/>
          <w:numId w:val="31"/>
        </w:numPr>
        <w:spacing w:line="240" w:lineRule="auto"/>
        <w:rPr>
          <w:rFonts w:ascii="Century Gothic" w:hAnsi="Century Gothic" w:cstheme="minorHAnsi"/>
        </w:rPr>
      </w:pPr>
      <w:r w:rsidRPr="004E6B7E">
        <w:rPr>
          <w:rFonts w:ascii="Century Gothic" w:hAnsi="Century Gothic" w:cstheme="minorHAnsi"/>
        </w:rPr>
        <w:t xml:space="preserve">Children’s Act 2004 </w:t>
      </w:r>
    </w:p>
    <w:p w14:paraId="65CD3AF8" w14:textId="77777777" w:rsidR="004E6B7E" w:rsidRPr="004E6B7E" w:rsidRDefault="004E6B7E" w:rsidP="004E6B7E">
      <w:pPr>
        <w:spacing w:after="200" w:line="276" w:lineRule="auto"/>
        <w:rPr>
          <w:rFonts w:ascii="Century Gothic" w:eastAsia="Calibri" w:hAnsi="Century Gothic" w:cstheme="minorHAnsi"/>
          <w:b/>
        </w:rPr>
      </w:pPr>
    </w:p>
    <w:p w14:paraId="0D5C2D64" w14:textId="77777777" w:rsidR="004E6B7E" w:rsidRPr="004E6B7E" w:rsidRDefault="004E6B7E" w:rsidP="004E6B7E">
      <w:pPr>
        <w:spacing w:after="200" w:line="276" w:lineRule="auto"/>
        <w:rPr>
          <w:rFonts w:ascii="Century Gothic" w:eastAsia="Calibri" w:hAnsi="Century Gothic" w:cstheme="minorHAnsi"/>
          <w:b/>
        </w:rPr>
      </w:pPr>
    </w:p>
    <w:p w14:paraId="2445FB05" w14:textId="77777777" w:rsidR="004E6B7E" w:rsidRPr="004E6B7E" w:rsidRDefault="004E6B7E" w:rsidP="004E6B7E">
      <w:pPr>
        <w:pStyle w:val="ListParagraph"/>
        <w:numPr>
          <w:ilvl w:val="0"/>
          <w:numId w:val="39"/>
        </w:numPr>
        <w:spacing w:line="240" w:lineRule="auto"/>
        <w:ind w:left="284" w:hanging="284"/>
        <w:rPr>
          <w:rFonts w:ascii="Century Gothic" w:hAnsi="Century Gothic" w:cstheme="minorHAnsi"/>
          <w:b/>
        </w:rPr>
      </w:pPr>
      <w:r w:rsidRPr="004E6B7E">
        <w:rPr>
          <w:rFonts w:ascii="Century Gothic" w:hAnsi="Century Gothic" w:cstheme="minorHAnsi"/>
          <w:b/>
        </w:rPr>
        <w:lastRenderedPageBreak/>
        <w:t>Clarification of roles and responsibly</w:t>
      </w:r>
    </w:p>
    <w:p w14:paraId="2BBBB04E" w14:textId="77777777" w:rsidR="004E6B7E" w:rsidRPr="004E6B7E" w:rsidRDefault="004E6B7E" w:rsidP="004E6B7E">
      <w:pPr>
        <w:pStyle w:val="ListParagraph"/>
        <w:spacing w:line="240" w:lineRule="auto"/>
        <w:ind w:left="284"/>
        <w:rPr>
          <w:rFonts w:ascii="Century Gothic" w:hAnsi="Century Gothic" w:cstheme="minorHAnsi"/>
          <w:b/>
        </w:rPr>
      </w:pPr>
    </w:p>
    <w:p w14:paraId="5A6770BC" w14:textId="77777777" w:rsidR="004E6B7E" w:rsidRPr="004E6B7E" w:rsidRDefault="004E6B7E" w:rsidP="004E6B7E">
      <w:pPr>
        <w:rPr>
          <w:rFonts w:ascii="Century Gothic" w:eastAsia="Calibri" w:hAnsi="Century Gothic" w:cstheme="minorHAnsi"/>
          <w:b/>
        </w:rPr>
      </w:pPr>
      <w:r w:rsidRPr="004E6B7E">
        <w:rPr>
          <w:rFonts w:ascii="Century Gothic" w:eastAsia="Calibri" w:hAnsi="Century Gothic" w:cstheme="minorHAnsi"/>
          <w:b/>
        </w:rPr>
        <w:t>Governors</w:t>
      </w:r>
    </w:p>
    <w:p w14:paraId="4D5CB250"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The Governing Body has a strategic role to set the vision, rationale and principles for the provision of high quality LOTC experiences. Where the Governing Body is the employer, it also has a legal role to ensure the health, safety and well-being of the employees and pupils of the school. To enable this to happen the Governors delegate authority and hold to account the Headteacher for oversight of educational visits to ensure that the educational experiences are of a high quality, that they offer best value and that health and safety and financial regulations are adhered to.</w:t>
      </w:r>
    </w:p>
    <w:p w14:paraId="783194FB" w14:textId="77777777" w:rsidR="004E6B7E" w:rsidRPr="004E6B7E" w:rsidRDefault="004E6B7E" w:rsidP="004E6B7E">
      <w:pPr>
        <w:contextualSpacing/>
        <w:rPr>
          <w:rFonts w:ascii="Century Gothic" w:eastAsia="Calibri" w:hAnsi="Century Gothic" w:cstheme="minorHAnsi"/>
        </w:rPr>
      </w:pPr>
    </w:p>
    <w:p w14:paraId="212D4CEF"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The Governing Body will:</w:t>
      </w:r>
    </w:p>
    <w:p w14:paraId="61ED2817"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Be fully aware of an employer’s responsibilities under health and safety law.</w:t>
      </w:r>
    </w:p>
    <w:p w14:paraId="6227EE31"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that formally adopted guidance from the Wiltshire Council LOTC Service is adhered to.</w:t>
      </w:r>
    </w:p>
    <w:p w14:paraId="30E9C6F6"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that there are robust systems to support the implementation of the guidance including the effective use of the Wiltshire Council EVOLVE system.</w:t>
      </w:r>
    </w:p>
    <w:p w14:paraId="13829A32"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Challenge, in order to be clear about, how outdoor learning and visits lead to a wide range of outcomes for children and young people and contribute towards school effectiveness.</w:t>
      </w:r>
    </w:p>
    <w:p w14:paraId="146226F1"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that there is an establishment visits/outdoor learning policy and procedures – including emergency procedures – and it supports the principles of inclusion.</w:t>
      </w:r>
    </w:p>
    <w:p w14:paraId="147C9690"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that they are informed and involved in an effective process for authorising and approving educational visits.</w:t>
      </w:r>
    </w:p>
    <w:p w14:paraId="0AA8CFD5"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there is a trained EVC who meets the employer’s requirements, with a sufficient time allowance to fulfil the role and training to support the planning and delivery of visits and outdoor learning.</w:t>
      </w:r>
    </w:p>
    <w:p w14:paraId="0939D6BB" w14:textId="77777777" w:rsidR="004E6B7E" w:rsidRPr="004E6B7E" w:rsidRDefault="004E6B7E" w:rsidP="004E6B7E">
      <w:pPr>
        <w:pStyle w:val="ListParagraph"/>
        <w:numPr>
          <w:ilvl w:val="0"/>
          <w:numId w:val="32"/>
        </w:numPr>
        <w:spacing w:line="276" w:lineRule="auto"/>
        <w:ind w:left="709" w:hanging="425"/>
        <w:rPr>
          <w:rFonts w:ascii="Century Gothic" w:hAnsi="Century Gothic" w:cstheme="minorHAnsi"/>
        </w:rPr>
      </w:pPr>
      <w:r w:rsidRPr="004E6B7E">
        <w:rPr>
          <w:rFonts w:ascii="Century Gothic" w:hAnsi="Century Gothic" w:cstheme="minorHAnsi"/>
        </w:rPr>
        <w:t>Ensure there are monitoring procedures in place, activity is evaluated, good practice is shared and any issues are followed up to comply with statutory and employer’s requirements.</w:t>
      </w:r>
    </w:p>
    <w:p w14:paraId="0AEF67D4" w14:textId="77777777" w:rsidR="004E6B7E" w:rsidRPr="004E6B7E" w:rsidRDefault="004E6B7E" w:rsidP="004E6B7E">
      <w:pPr>
        <w:contextualSpacing/>
        <w:rPr>
          <w:rFonts w:ascii="Century Gothic" w:eastAsia="Calibri" w:hAnsi="Century Gothic" w:cstheme="minorHAnsi"/>
          <w:b/>
        </w:rPr>
      </w:pPr>
    </w:p>
    <w:p w14:paraId="1D6EE3B8"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Headteacher</w:t>
      </w:r>
    </w:p>
    <w:p w14:paraId="4222CA0F"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The Headteacher is responsible for ensuring that the educational experiences provided are of a high quality, that they offer best value and that they comply with health &amp; safety and financial regulations. The Headteacher must also </w:t>
      </w:r>
      <w:r w:rsidRPr="004E6B7E">
        <w:rPr>
          <w:rFonts w:ascii="Century Gothic" w:eastAsia="Calibri" w:hAnsi="Century Gothic" w:cstheme="minorHAnsi"/>
          <w:b/>
        </w:rPr>
        <w:t>Authorise all educational visits</w:t>
      </w:r>
      <w:r w:rsidRPr="004E6B7E">
        <w:rPr>
          <w:rFonts w:ascii="Century Gothic" w:eastAsia="Calibri" w:hAnsi="Century Gothic" w:cstheme="minorHAnsi"/>
        </w:rPr>
        <w:t xml:space="preserve"> via the Wiltshire Council EVOLVE system </w:t>
      </w:r>
      <w:r w:rsidRPr="004E6B7E">
        <w:rPr>
          <w:rFonts w:ascii="Century Gothic" w:eastAsia="Calibri" w:hAnsi="Century Gothic" w:cstheme="minorHAnsi"/>
          <w:b/>
        </w:rPr>
        <w:t>before they can leave the site.</w:t>
      </w:r>
    </w:p>
    <w:p w14:paraId="4BAE6E7A" w14:textId="77777777" w:rsidR="004E6B7E" w:rsidRPr="004E6B7E" w:rsidRDefault="004E6B7E" w:rsidP="004E6B7E">
      <w:pPr>
        <w:contextualSpacing/>
        <w:rPr>
          <w:rFonts w:ascii="Century Gothic" w:eastAsia="Calibri" w:hAnsi="Century Gothic" w:cstheme="minorHAnsi"/>
        </w:rPr>
      </w:pPr>
    </w:p>
    <w:p w14:paraId="7DD10DAA"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The Headteacher will also:</w:t>
      </w:r>
    </w:p>
    <w:p w14:paraId="580640AC" w14:textId="77777777" w:rsidR="004E6B7E" w:rsidRPr="004E6B7E" w:rsidRDefault="004E6B7E" w:rsidP="004E6B7E">
      <w:pPr>
        <w:pStyle w:val="ListParagraph"/>
        <w:numPr>
          <w:ilvl w:val="0"/>
          <w:numId w:val="33"/>
        </w:numPr>
        <w:spacing w:line="276" w:lineRule="auto"/>
        <w:ind w:left="709" w:hanging="425"/>
        <w:rPr>
          <w:rFonts w:ascii="Century Gothic" w:hAnsi="Century Gothic" w:cstheme="minorHAnsi"/>
        </w:rPr>
      </w:pPr>
      <w:r w:rsidRPr="004E6B7E">
        <w:rPr>
          <w:rFonts w:ascii="Century Gothic" w:hAnsi="Century Gothic" w:cstheme="minorHAnsi"/>
        </w:rPr>
        <w:t>Ensure that the protocols and procedures for the planning, management and delivery of LOTC experiences are consistent with the school policy and adopted guidance and recommendations.</w:t>
      </w:r>
    </w:p>
    <w:p w14:paraId="02EBE187" w14:textId="77777777" w:rsidR="004E6B7E" w:rsidRPr="004E6B7E" w:rsidRDefault="004E6B7E" w:rsidP="004E6B7E">
      <w:pPr>
        <w:pStyle w:val="ListParagraph"/>
        <w:numPr>
          <w:ilvl w:val="0"/>
          <w:numId w:val="33"/>
        </w:numPr>
        <w:spacing w:line="276" w:lineRule="auto"/>
        <w:ind w:left="709" w:hanging="425"/>
        <w:rPr>
          <w:rFonts w:ascii="Century Gothic" w:hAnsi="Century Gothic" w:cstheme="minorHAnsi"/>
        </w:rPr>
      </w:pPr>
      <w:r w:rsidRPr="004E6B7E">
        <w:rPr>
          <w:rFonts w:ascii="Century Gothic" w:hAnsi="Century Gothic" w:cstheme="minorHAnsi"/>
        </w:rPr>
        <w:lastRenderedPageBreak/>
        <w:t>Be aware that the appointment of an Educational Visits Coordinator (EVC) is critical to the implementation of this guidance. The EVC should be appropriately competent to their role (see below) and should be allowed sufficient time to fulfil the role, including attendance at OEAP accredited training. Heads/Managers may choose to designate themselves as EVC.</w:t>
      </w:r>
    </w:p>
    <w:p w14:paraId="2E379FC2" w14:textId="77777777" w:rsidR="004E6B7E" w:rsidRPr="004E6B7E" w:rsidRDefault="004E6B7E" w:rsidP="004E6B7E">
      <w:pPr>
        <w:pStyle w:val="ListParagraph"/>
        <w:numPr>
          <w:ilvl w:val="0"/>
          <w:numId w:val="33"/>
        </w:numPr>
        <w:spacing w:line="276" w:lineRule="auto"/>
        <w:ind w:left="709" w:hanging="425"/>
        <w:rPr>
          <w:rFonts w:ascii="Century Gothic" w:hAnsi="Century Gothic" w:cstheme="minorHAnsi"/>
        </w:rPr>
      </w:pPr>
      <w:r w:rsidRPr="004E6B7E">
        <w:rPr>
          <w:rFonts w:ascii="Century Gothic" w:hAnsi="Century Gothic" w:cstheme="minorHAnsi"/>
        </w:rPr>
        <w:t xml:space="preserve">Assure the </w:t>
      </w:r>
      <w:r w:rsidRPr="004E6B7E">
        <w:rPr>
          <w:rFonts w:ascii="Century Gothic" w:hAnsi="Century Gothic" w:cstheme="minorHAnsi"/>
          <w:b/>
        </w:rPr>
        <w:t>competency, experience and confidence</w:t>
      </w:r>
      <w:r w:rsidRPr="004E6B7E">
        <w:rPr>
          <w:rFonts w:ascii="Century Gothic" w:hAnsi="Century Gothic" w:cstheme="minorHAnsi"/>
        </w:rPr>
        <w:t xml:space="preserve"> of the Visit Leader to effectively supervise each educational visit.</w:t>
      </w:r>
    </w:p>
    <w:p w14:paraId="26F8934C" w14:textId="77777777" w:rsidR="004E6B7E" w:rsidRPr="004E6B7E" w:rsidRDefault="004E6B7E" w:rsidP="004E6B7E">
      <w:pPr>
        <w:pStyle w:val="ListParagraph"/>
        <w:numPr>
          <w:ilvl w:val="0"/>
          <w:numId w:val="33"/>
        </w:numPr>
        <w:spacing w:line="276" w:lineRule="auto"/>
        <w:ind w:left="709" w:hanging="425"/>
        <w:rPr>
          <w:rFonts w:ascii="Century Gothic" w:hAnsi="Century Gothic" w:cstheme="minorHAnsi"/>
        </w:rPr>
      </w:pPr>
      <w:r w:rsidRPr="004E6B7E">
        <w:rPr>
          <w:rFonts w:ascii="Century Gothic" w:hAnsi="Century Gothic" w:cstheme="minorHAnsi"/>
        </w:rPr>
        <w:t>Ensure that the Governing Body are regularly informed about the delivery of visits and outdoor learning and their contribution towards school effectiveness.</w:t>
      </w:r>
    </w:p>
    <w:p w14:paraId="29378F78" w14:textId="77777777" w:rsidR="004E6B7E" w:rsidRPr="004E6B7E" w:rsidRDefault="004E6B7E" w:rsidP="004E6B7E">
      <w:pPr>
        <w:pStyle w:val="ListParagraph"/>
        <w:numPr>
          <w:ilvl w:val="0"/>
          <w:numId w:val="33"/>
        </w:numPr>
        <w:spacing w:line="276" w:lineRule="auto"/>
        <w:ind w:left="709" w:hanging="425"/>
        <w:rPr>
          <w:rFonts w:ascii="Century Gothic" w:hAnsi="Century Gothic" w:cstheme="minorHAnsi"/>
        </w:rPr>
      </w:pPr>
      <w:r w:rsidRPr="004E6B7E">
        <w:rPr>
          <w:rFonts w:ascii="Century Gothic" w:hAnsi="Century Gothic" w:cstheme="minorHAnsi"/>
        </w:rPr>
        <w:t>Have access to expert advice the Wiltshire Council LOTC Safety Adviser.</w:t>
      </w:r>
    </w:p>
    <w:p w14:paraId="5387C5A9"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Education Visits Coordinator (EVC)</w:t>
      </w:r>
    </w:p>
    <w:p w14:paraId="1AB6C0C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The school recognises that an effective EVC role is a management function within school and is critical to the success of the planning, management and monitoring educational visits and outdoor learning. When appointing an EVC careful consideration is given to experience of the post holder in practical outdoor learning and visit leadership together with a status within school that enables guiding of the working practices of their colleagues. Sufficient time is given to enable the post holder to fulfil the role and to attend OEAP </w:t>
      </w:r>
      <w:proofErr w:type="gramStart"/>
      <w:r w:rsidRPr="004E6B7E">
        <w:rPr>
          <w:rFonts w:ascii="Century Gothic" w:eastAsia="Calibri" w:hAnsi="Century Gothic" w:cstheme="minorHAnsi"/>
        </w:rPr>
        <w:t>accredited  EVC</w:t>
      </w:r>
      <w:proofErr w:type="gramEnd"/>
      <w:r w:rsidRPr="004E6B7E">
        <w:rPr>
          <w:rFonts w:ascii="Century Gothic" w:eastAsia="Calibri" w:hAnsi="Century Gothic" w:cstheme="minorHAnsi"/>
        </w:rPr>
        <w:t xml:space="preserve"> training and update/ revalidation as required. </w:t>
      </w:r>
    </w:p>
    <w:p w14:paraId="700E9112" w14:textId="77777777" w:rsidR="004E6B7E" w:rsidRPr="004E6B7E" w:rsidRDefault="004E6B7E" w:rsidP="004E6B7E">
      <w:pPr>
        <w:contextualSpacing/>
        <w:rPr>
          <w:rFonts w:ascii="Century Gothic" w:eastAsia="Calibri" w:hAnsi="Century Gothic" w:cstheme="minorHAnsi"/>
        </w:rPr>
      </w:pPr>
    </w:p>
    <w:p w14:paraId="79E04643"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The role of the EVC in our school is to; </w:t>
      </w:r>
    </w:p>
    <w:p w14:paraId="2BF479BE"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Promote educational visits and take a lead in policy development.</w:t>
      </w:r>
    </w:p>
    <w:p w14:paraId="5CEF3C2C"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Liaise with staff, offering advice and support regarding educational visits</w:t>
      </w:r>
    </w:p>
    <w:p w14:paraId="60E44F21"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Advise on the arrangements for visits, including staff to student ratios.</w:t>
      </w:r>
    </w:p>
    <w:p w14:paraId="31BC9B73"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Ensure that authorised and approved visits are added to the school calendar.</w:t>
      </w:r>
    </w:p>
    <w:p w14:paraId="2BA46B49"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Approve the letter to be sent to parents.</w:t>
      </w:r>
    </w:p>
    <w:p w14:paraId="5DB4A78F"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Ensure that there are updated Charging and Remissions Policy and Educational Visits Policy and Procedures.</w:t>
      </w:r>
    </w:p>
    <w:p w14:paraId="768D0332"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Liaise with the Headteacher and Governing Body as requested.</w:t>
      </w:r>
    </w:p>
    <w:p w14:paraId="1AC084BC"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 xml:space="preserve">Assess and approve the competency, experience and confidence of staff and volunteers involved in each educational visit, ensuring appropriate checks are in place to effectively supervise each visit. </w:t>
      </w:r>
    </w:p>
    <w:p w14:paraId="66B0E59A"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Confirm the insurance policy covers the planned activities.</w:t>
      </w:r>
    </w:p>
    <w:p w14:paraId="2B6545D3"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Ensure visit plans and submission are completed accurately and in good time to allow for scrutiny, authorisation and approval via the Wiltshire Council EVOLVE system.</w:t>
      </w:r>
    </w:p>
    <w:p w14:paraId="6734734F"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Ensure records are kept and checks are made on staff qualifications and driving details (car insurance with business use if transporting students in own cars).</w:t>
      </w:r>
    </w:p>
    <w:p w14:paraId="62389EB9"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Attend relevant EVC training.</w:t>
      </w:r>
    </w:p>
    <w:p w14:paraId="312E172B" w14:textId="77777777" w:rsidR="004E6B7E" w:rsidRPr="004E6B7E" w:rsidRDefault="004E6B7E" w:rsidP="004E6B7E">
      <w:pPr>
        <w:pStyle w:val="ListParagraph"/>
        <w:numPr>
          <w:ilvl w:val="0"/>
          <w:numId w:val="34"/>
        </w:numPr>
        <w:spacing w:line="276" w:lineRule="auto"/>
        <w:ind w:left="709" w:hanging="425"/>
        <w:rPr>
          <w:rFonts w:ascii="Century Gothic" w:hAnsi="Century Gothic" w:cstheme="minorHAnsi"/>
        </w:rPr>
      </w:pPr>
      <w:r w:rsidRPr="004E6B7E">
        <w:rPr>
          <w:rFonts w:ascii="Century Gothic" w:hAnsi="Century Gothic" w:cstheme="minorHAnsi"/>
        </w:rPr>
        <w:t>Organise Visit Leader and EVOLVE system training for staff as required.</w:t>
      </w:r>
    </w:p>
    <w:p w14:paraId="503B9F0B" w14:textId="77777777" w:rsidR="004E6B7E" w:rsidRPr="004E6B7E" w:rsidRDefault="004E6B7E" w:rsidP="004E6B7E">
      <w:pPr>
        <w:spacing w:after="200"/>
        <w:contextualSpacing/>
        <w:rPr>
          <w:rFonts w:ascii="Century Gothic" w:eastAsia="Calibri" w:hAnsi="Century Gothic" w:cstheme="minorHAnsi"/>
          <w:b/>
        </w:rPr>
      </w:pPr>
    </w:p>
    <w:p w14:paraId="1A513B58" w14:textId="77777777" w:rsidR="004E6B7E" w:rsidRPr="004E6B7E" w:rsidRDefault="004E6B7E" w:rsidP="004E6B7E">
      <w:pPr>
        <w:spacing w:after="200"/>
        <w:contextualSpacing/>
        <w:rPr>
          <w:rFonts w:ascii="Century Gothic" w:eastAsia="Calibri" w:hAnsi="Century Gothic" w:cstheme="minorHAnsi"/>
          <w:b/>
        </w:rPr>
      </w:pPr>
    </w:p>
    <w:p w14:paraId="395E6A59" w14:textId="77777777" w:rsidR="004E6B7E" w:rsidRPr="004E6B7E" w:rsidRDefault="004E6B7E" w:rsidP="004E6B7E">
      <w:pPr>
        <w:spacing w:after="200"/>
        <w:contextualSpacing/>
        <w:rPr>
          <w:rFonts w:ascii="Century Gothic" w:eastAsia="Calibri" w:hAnsi="Century Gothic" w:cstheme="minorHAnsi"/>
          <w:b/>
        </w:rPr>
      </w:pPr>
      <w:r w:rsidRPr="004E6B7E">
        <w:rPr>
          <w:rFonts w:ascii="Century Gothic" w:eastAsia="Calibri" w:hAnsi="Century Gothic" w:cstheme="minorHAnsi"/>
          <w:b/>
        </w:rPr>
        <w:lastRenderedPageBreak/>
        <w:t>Visit Leader</w:t>
      </w:r>
    </w:p>
    <w:p w14:paraId="7622A7D4" w14:textId="77777777" w:rsidR="004E6B7E" w:rsidRPr="004E6B7E" w:rsidRDefault="004E6B7E" w:rsidP="004E6B7E">
      <w:pPr>
        <w:spacing w:after="200"/>
        <w:contextualSpacing/>
        <w:rPr>
          <w:rFonts w:ascii="Century Gothic" w:eastAsia="Calibri" w:hAnsi="Century Gothic" w:cstheme="minorHAnsi"/>
        </w:rPr>
      </w:pPr>
      <w:r w:rsidRPr="004E6B7E">
        <w:rPr>
          <w:rFonts w:ascii="Century Gothic" w:eastAsia="Calibri" w:hAnsi="Century Gothic" w:cstheme="minorHAnsi"/>
        </w:rPr>
        <w:t>The Visit Leader who must be an employee of the school, has overall responsibility for the planning, management, supervision and conduct of the visit and shall have regard to the health and safety of the group. The Visit Leader is responsible for ensuring that each visit is carefully planned and a submission is prepared using the EVOLVE system which includes a visit specific risk-assessment.</w:t>
      </w:r>
    </w:p>
    <w:p w14:paraId="2A8D6581" w14:textId="77777777" w:rsidR="004E6B7E" w:rsidRPr="004E6B7E" w:rsidRDefault="004E6B7E" w:rsidP="004E6B7E">
      <w:pPr>
        <w:spacing w:after="200"/>
        <w:contextualSpacing/>
        <w:rPr>
          <w:rFonts w:ascii="Century Gothic" w:eastAsia="Calibri" w:hAnsi="Century Gothic" w:cstheme="minorHAnsi"/>
        </w:rPr>
      </w:pPr>
    </w:p>
    <w:p w14:paraId="0D7BD883" w14:textId="77777777" w:rsidR="004E6B7E" w:rsidRPr="004E6B7E" w:rsidRDefault="004E6B7E" w:rsidP="004E6B7E">
      <w:pPr>
        <w:spacing w:after="200"/>
        <w:contextualSpacing/>
        <w:rPr>
          <w:rFonts w:ascii="Century Gothic" w:eastAsia="Calibri" w:hAnsi="Century Gothic" w:cstheme="minorHAnsi"/>
          <w:b/>
        </w:rPr>
      </w:pPr>
      <w:r w:rsidRPr="004E6B7E">
        <w:rPr>
          <w:rFonts w:ascii="Century Gothic" w:eastAsia="Calibri" w:hAnsi="Century Gothic" w:cstheme="minorHAnsi"/>
        </w:rPr>
        <w:t>All Visit Leaders will have a working knowledge of basic first aid and be competent to use the first aid materials carried with the group. They will also know how to access qualified first aid support as required. The school believes it is good practise for at least one member of the Supervision Team to hold a first aid qualification and that this level of qualification will be determined by the risk assessment process and the advice of the LOTC Safety Adviser, where appropriate.</w:t>
      </w:r>
    </w:p>
    <w:p w14:paraId="632DDA7A" w14:textId="77777777" w:rsidR="004E6B7E" w:rsidRPr="004E6B7E" w:rsidRDefault="004E6B7E" w:rsidP="004E6B7E">
      <w:pPr>
        <w:contextualSpacing/>
        <w:rPr>
          <w:rFonts w:ascii="Century Gothic" w:eastAsia="Calibri" w:hAnsi="Century Gothic" w:cstheme="minorHAnsi"/>
        </w:rPr>
      </w:pPr>
    </w:p>
    <w:p w14:paraId="71235FB2" w14:textId="77777777" w:rsidR="004E6B7E" w:rsidRPr="004E6B7E" w:rsidRDefault="004E6B7E" w:rsidP="004E6B7E">
      <w:pPr>
        <w:contextualSpacing/>
        <w:rPr>
          <w:rFonts w:ascii="Century Gothic" w:eastAsia="Calibri" w:hAnsi="Century Gothic" w:cstheme="minorHAnsi"/>
        </w:rPr>
      </w:pPr>
    </w:p>
    <w:p w14:paraId="751B26A6" w14:textId="77777777" w:rsidR="004E6B7E" w:rsidRPr="004E6B7E" w:rsidRDefault="004E6B7E" w:rsidP="004E6B7E">
      <w:pPr>
        <w:spacing w:after="200" w:line="276" w:lineRule="auto"/>
        <w:rPr>
          <w:rFonts w:ascii="Century Gothic" w:eastAsia="Calibri" w:hAnsi="Century Gothic" w:cstheme="minorHAnsi"/>
        </w:rPr>
      </w:pPr>
      <w:r w:rsidRPr="004E6B7E">
        <w:rPr>
          <w:rFonts w:ascii="Century Gothic" w:eastAsia="Calibri" w:hAnsi="Century Gothic" w:cstheme="minorHAnsi"/>
        </w:rPr>
        <w:t>The Visit Leader will:</w:t>
      </w:r>
    </w:p>
    <w:p w14:paraId="2DA6993B"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Produce the EVOLVE submission for the trip</w:t>
      </w:r>
    </w:p>
    <w:p w14:paraId="6B5127B3"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Ensure there are clear educational aims for the visit.</w:t>
      </w:r>
    </w:p>
    <w:p w14:paraId="236CF1DE"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Take overall responsibility for the organisation, supervision and conduct of the visit and have an </w:t>
      </w:r>
      <w:proofErr w:type="gramStart"/>
      <w:r w:rsidRPr="004E6B7E">
        <w:rPr>
          <w:rFonts w:ascii="Century Gothic" w:hAnsi="Century Gothic" w:cstheme="minorHAnsi"/>
        </w:rPr>
        <w:t>up to date</w:t>
      </w:r>
      <w:proofErr w:type="gramEnd"/>
      <w:r w:rsidRPr="004E6B7E">
        <w:rPr>
          <w:rFonts w:ascii="Century Gothic" w:hAnsi="Century Gothic" w:cstheme="minorHAnsi"/>
        </w:rPr>
        <w:t xml:space="preserve"> knowledge of the Educational Visits Policy and Procedures.</w:t>
      </w:r>
    </w:p>
    <w:p w14:paraId="2587A499"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Provide sufficient notice and ask the EVC for permission to organise the visit in terms of educational value, cover requirements and the school calendar. In the case higher risk visits that require additional scrutiny and approval from the Wiltshire Council LOTC Safety Adviser, ideally this should be a minimum of </w:t>
      </w:r>
      <w:r w:rsidRPr="004E6B7E">
        <w:rPr>
          <w:rFonts w:ascii="Century Gothic" w:hAnsi="Century Gothic" w:cstheme="minorHAnsi"/>
          <w:b/>
        </w:rPr>
        <w:t>8 weeks prior to the start of the visit.</w:t>
      </w:r>
    </w:p>
    <w:p w14:paraId="5FC237FA"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Research the visit costs and seek best value, confirming any costs being passed onto students.</w:t>
      </w:r>
    </w:p>
    <w:p w14:paraId="38EA6D14"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Draft the letter to parents and informed consent forms as required and pass to the EVC for approval.</w:t>
      </w:r>
    </w:p>
    <w:p w14:paraId="14676A64"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Check parental consent forms, medical and behaviour concerns of students attending the visit.</w:t>
      </w:r>
    </w:p>
    <w:p w14:paraId="5E6934CD"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If the visit is oversubscribed, then agree with the Headteacher and EVC selection criteria to be used </w:t>
      </w:r>
      <w:proofErr w:type="gramStart"/>
      <w:r w:rsidRPr="004E6B7E">
        <w:rPr>
          <w:rFonts w:ascii="Century Gothic" w:hAnsi="Century Gothic" w:cstheme="minorHAnsi"/>
        </w:rPr>
        <w:t>e.g.</w:t>
      </w:r>
      <w:proofErr w:type="gramEnd"/>
      <w:r w:rsidRPr="004E6B7E">
        <w:rPr>
          <w:rFonts w:ascii="Century Gothic" w:hAnsi="Century Gothic" w:cstheme="minorHAnsi"/>
        </w:rPr>
        <w:t xml:space="preserve"> behaviour of students; attendance; eligibility for other visits; random selection</w:t>
      </w:r>
    </w:p>
    <w:p w14:paraId="051B7857"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Complete a comprehensive risk assessment using the agreed template, share with the EVC and upload to the EVOLVE submission. The Visit Leader must have sufficient competence, experience and confidence to assess risks as they change throughout the visit and make decisions to stop activities if the risks become unacceptable. Where appropriate, the Visit Leader will endeavour to involve the Supervising Team and the students in the risk </w:t>
      </w:r>
      <w:proofErr w:type="gramStart"/>
      <w:r w:rsidRPr="004E6B7E">
        <w:rPr>
          <w:rFonts w:ascii="Century Gothic" w:hAnsi="Century Gothic" w:cstheme="minorHAnsi"/>
        </w:rPr>
        <w:t>assessment  process</w:t>
      </w:r>
      <w:proofErr w:type="gramEnd"/>
      <w:r w:rsidRPr="004E6B7E">
        <w:rPr>
          <w:rFonts w:ascii="Century Gothic" w:hAnsi="Century Gothic" w:cstheme="minorHAnsi"/>
        </w:rPr>
        <w:t xml:space="preserve"> so that all involved can appreciate the risks involved and are aware of the control measures in place.</w:t>
      </w:r>
    </w:p>
    <w:p w14:paraId="09E4493F"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As part of the risk assessment, the Visit Leader must determine the appropriate first aid requirements relative to the nature of the activity, the needs of the </w:t>
      </w:r>
      <w:r w:rsidRPr="004E6B7E">
        <w:rPr>
          <w:rFonts w:ascii="Century Gothic" w:hAnsi="Century Gothic" w:cstheme="minorHAnsi"/>
        </w:rPr>
        <w:lastRenderedPageBreak/>
        <w:t xml:space="preserve">group and the extent to which the group will be isolated from support of the emergency services. </w:t>
      </w:r>
    </w:p>
    <w:p w14:paraId="15DAACBD"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Consider whether any student participating in the visit may need a permission letter from their doctor in order to be covered by the insurance policy. A clear risk assessment must be made for any named student with known behavioural or medical issues.</w:t>
      </w:r>
    </w:p>
    <w:p w14:paraId="012180A4"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Ensure parents, accompanying staff and students are kept fully informed of visit arrangements and itinerary (and in the case of residential and overseas visits hold an information evening for parents and a separate meeting for students and staff).</w:t>
      </w:r>
    </w:p>
    <w:p w14:paraId="7D50CCF8"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Ensure that all accompanying staff have a clear understanding of accident/emergency procedures – provide them with a visit information pack include: itinerary, register of students, all emergency contact details and procedures.</w:t>
      </w:r>
    </w:p>
    <w:p w14:paraId="1FD44B8B"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 Ensure that all accompanying staff are fully briefed and clear about their specific duties, responsibilities and act in the same way as a careful parent ‘in loco parentis’. For overseas visits hold a staff briefing to make clear expectations of supervision at each point of the visit using the itinerary.</w:t>
      </w:r>
    </w:p>
    <w:p w14:paraId="2E62E5D8"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Ensure that </w:t>
      </w:r>
      <w:r w:rsidRPr="004E6B7E">
        <w:rPr>
          <w:rFonts w:ascii="Century Gothic" w:hAnsi="Century Gothic" w:cstheme="minorHAnsi"/>
          <w:b/>
        </w:rPr>
        <w:t>no one on the trip consumes alcohol</w:t>
      </w:r>
      <w:r w:rsidRPr="004E6B7E">
        <w:rPr>
          <w:rFonts w:ascii="Century Gothic" w:hAnsi="Century Gothic" w:cstheme="minorHAnsi"/>
        </w:rPr>
        <w:t xml:space="preserve"> (including staff, supervising adults and / or students)</w:t>
      </w:r>
    </w:p>
    <w:p w14:paraId="23185AD9"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Ensure adequate first aid has been considered and that first aid kits and individual students’ medical kits have been taken along as appropriate. Inform all staff on the visit should be aware of who is responsible for first aid.</w:t>
      </w:r>
    </w:p>
    <w:p w14:paraId="78620654"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 Carry copies of all supporting documentation on the visit, </w:t>
      </w:r>
      <w:proofErr w:type="gramStart"/>
      <w:r w:rsidRPr="004E6B7E">
        <w:rPr>
          <w:rFonts w:ascii="Century Gothic" w:hAnsi="Century Gothic" w:cstheme="minorHAnsi"/>
        </w:rPr>
        <w:t>e.g.</w:t>
      </w:r>
      <w:proofErr w:type="gramEnd"/>
      <w:r w:rsidRPr="004E6B7E">
        <w:rPr>
          <w:rFonts w:ascii="Century Gothic" w:hAnsi="Century Gothic" w:cstheme="minorHAnsi"/>
        </w:rPr>
        <w:t xml:space="preserve"> itinerary, consent forms, emergency contacts, special medical and/or dietary requirements and ensure that copies of the details are left with the school office and with the emergency contacts where the visit is outside school hours, residential or overseas.</w:t>
      </w:r>
    </w:p>
    <w:p w14:paraId="6399BA00"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Take a charged mobile phone on the visit.</w:t>
      </w:r>
    </w:p>
    <w:p w14:paraId="1B818B03"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 Report any accidents and incidents that occur during the visits in accordance with the school health and safety policy.</w:t>
      </w:r>
    </w:p>
    <w:p w14:paraId="53BEB2FA"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 Ensure they understand child protection and safeguarding issues.</w:t>
      </w:r>
    </w:p>
    <w:p w14:paraId="55E50633" w14:textId="77777777" w:rsidR="004E6B7E" w:rsidRPr="004E6B7E" w:rsidRDefault="004E6B7E" w:rsidP="004E6B7E">
      <w:pPr>
        <w:pStyle w:val="ListParagraph"/>
        <w:numPr>
          <w:ilvl w:val="0"/>
          <w:numId w:val="35"/>
        </w:numPr>
        <w:spacing w:line="276" w:lineRule="auto"/>
        <w:ind w:left="709" w:hanging="425"/>
        <w:rPr>
          <w:rFonts w:ascii="Century Gothic" w:hAnsi="Century Gothic" w:cstheme="minorHAnsi"/>
        </w:rPr>
      </w:pPr>
      <w:r w:rsidRPr="004E6B7E">
        <w:rPr>
          <w:rFonts w:ascii="Century Gothic" w:hAnsi="Century Gothic" w:cstheme="minorHAnsi"/>
        </w:rPr>
        <w:t xml:space="preserve">For overseas visits, ensure that all students have the correct travel documents to be able to enter the country being visited and to be able to re-enter the UK. Students who hold </w:t>
      </w:r>
      <w:proofErr w:type="spellStart"/>
      <w:proofErr w:type="gramStart"/>
      <w:r w:rsidRPr="004E6B7E">
        <w:rPr>
          <w:rFonts w:ascii="Century Gothic" w:hAnsi="Century Gothic" w:cstheme="minorHAnsi"/>
        </w:rPr>
        <w:t>non EU</w:t>
      </w:r>
      <w:proofErr w:type="spellEnd"/>
      <w:proofErr w:type="gramEnd"/>
      <w:r w:rsidRPr="004E6B7E">
        <w:rPr>
          <w:rFonts w:ascii="Century Gothic" w:hAnsi="Century Gothic" w:cstheme="minorHAnsi"/>
        </w:rPr>
        <w:t xml:space="preserve"> passports must have full residency stamps or visas that allow them re-entry on their own passports not their parents.</w:t>
      </w:r>
    </w:p>
    <w:p w14:paraId="4E2BA326" w14:textId="77777777" w:rsidR="004E6B7E" w:rsidRPr="004E6B7E" w:rsidRDefault="004E6B7E" w:rsidP="004E6B7E">
      <w:pPr>
        <w:pStyle w:val="ListParagraph"/>
        <w:numPr>
          <w:ilvl w:val="0"/>
          <w:numId w:val="35"/>
        </w:numPr>
        <w:spacing w:line="240" w:lineRule="auto"/>
        <w:ind w:left="709" w:hanging="425"/>
        <w:rPr>
          <w:rFonts w:ascii="Century Gothic" w:hAnsi="Century Gothic" w:cstheme="minorHAnsi"/>
        </w:rPr>
      </w:pPr>
      <w:r w:rsidRPr="004E6B7E">
        <w:rPr>
          <w:rFonts w:ascii="Century Gothic" w:hAnsi="Century Gothic" w:cstheme="minorHAnsi"/>
        </w:rPr>
        <w:t>Complete an evaluation of the visit on EVOLVE.</w:t>
      </w:r>
    </w:p>
    <w:p w14:paraId="7B1ED3B9" w14:textId="77777777" w:rsidR="004E6B7E" w:rsidRPr="004E6B7E" w:rsidRDefault="004E6B7E" w:rsidP="004E6B7E">
      <w:pPr>
        <w:contextualSpacing/>
        <w:rPr>
          <w:rFonts w:ascii="Century Gothic" w:eastAsia="Calibri" w:hAnsi="Century Gothic" w:cstheme="minorHAnsi"/>
          <w:b/>
        </w:rPr>
      </w:pPr>
    </w:p>
    <w:p w14:paraId="68AD6820"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b/>
        </w:rPr>
        <w:t>Supervising Team</w:t>
      </w:r>
    </w:p>
    <w:p w14:paraId="5F8080A5"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According to the supervision requirements of each visit, the Visit Leader will assemble a team of supervising adults to help manage the conduct and health, safety and well-being of the whole group. This team can include both employed staff of the school and volunteer adults.</w:t>
      </w:r>
    </w:p>
    <w:p w14:paraId="5FD41ECB" w14:textId="77777777" w:rsidR="004E6B7E" w:rsidRPr="004E6B7E" w:rsidRDefault="004E6B7E" w:rsidP="004E6B7E">
      <w:pPr>
        <w:contextualSpacing/>
        <w:rPr>
          <w:rFonts w:ascii="Century Gothic" w:eastAsia="Calibri" w:hAnsi="Century Gothic" w:cstheme="minorHAnsi"/>
        </w:rPr>
      </w:pPr>
    </w:p>
    <w:p w14:paraId="67AE3E51"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lastRenderedPageBreak/>
        <w:t>Staff on school-led visits act as employees of the school, whether the visit takes place within normal school hours or outside those hours. They must do their best to ensure the health and safety of everyone in the group and act as any reasonable parent/carer would do in the same circumstances. Staff and all other adults assisting the Visit Leader must consent and agree that the Visit Leader has full authority to reasonably direct their supervision of the students.</w:t>
      </w:r>
    </w:p>
    <w:p w14:paraId="22998AD6" w14:textId="77777777" w:rsidR="004E6B7E" w:rsidRPr="004E6B7E" w:rsidRDefault="004E6B7E" w:rsidP="004E6B7E">
      <w:pPr>
        <w:contextualSpacing/>
        <w:rPr>
          <w:rFonts w:ascii="Century Gothic" w:eastAsia="Calibri" w:hAnsi="Century Gothic" w:cstheme="minorHAnsi"/>
        </w:rPr>
      </w:pPr>
    </w:p>
    <w:p w14:paraId="776FEC4F"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Members of the supervising team will be sufficiently briefed as to their roles and responsibilities throughout the visit so that they are able to support the Visit Leader effectively. This will include contributing to the planning and preparation for the educational visits, the organisation of risk management and specific individual responsibilities, especially if the visit involves an extended day or residential experience. This briefing should empower them to intervene appropriately with the group or an individual young person for safety or behaviour management purposes.</w:t>
      </w:r>
    </w:p>
    <w:p w14:paraId="1BC99839" w14:textId="77777777" w:rsidR="004E6B7E" w:rsidRPr="004E6B7E" w:rsidRDefault="004E6B7E" w:rsidP="004E6B7E">
      <w:pPr>
        <w:contextualSpacing/>
        <w:rPr>
          <w:rFonts w:ascii="Century Gothic" w:eastAsia="Calibri" w:hAnsi="Century Gothic" w:cstheme="minorHAnsi"/>
        </w:rPr>
      </w:pPr>
    </w:p>
    <w:p w14:paraId="1FE1908F"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Additional members of staff and other adults taking part in educational visits will:</w:t>
      </w:r>
    </w:p>
    <w:p w14:paraId="2B738D3A"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Assist the Visit leader to ensure the health, safety, welfare, pastoral care and supervision of the students on the visit.</w:t>
      </w:r>
    </w:p>
    <w:p w14:paraId="0AFDA44B"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Be clear about their roles and responsibilities whilst taking part in a visit.</w:t>
      </w:r>
    </w:p>
    <w:p w14:paraId="3F9489E4"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Ensure they understand child protection and safeguarding issues.</w:t>
      </w:r>
    </w:p>
    <w:p w14:paraId="407AD5F5"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Take care of their own Health and Safety and that of others on educational visits.</w:t>
      </w:r>
    </w:p>
    <w:p w14:paraId="436EE195"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Bring to the Visit Leader’s attention any deficiencies in the arrangements that may create hazards.</w:t>
      </w:r>
    </w:p>
    <w:p w14:paraId="0FD0F935" w14:textId="77777777" w:rsidR="004E6B7E" w:rsidRPr="004E6B7E" w:rsidRDefault="004E6B7E" w:rsidP="004E6B7E">
      <w:pPr>
        <w:pStyle w:val="ListParagraph"/>
        <w:numPr>
          <w:ilvl w:val="0"/>
          <w:numId w:val="36"/>
        </w:numPr>
        <w:spacing w:line="276" w:lineRule="auto"/>
        <w:ind w:left="709" w:hanging="425"/>
        <w:rPr>
          <w:rFonts w:ascii="Century Gothic" w:hAnsi="Century Gothic" w:cstheme="minorHAnsi"/>
        </w:rPr>
      </w:pPr>
      <w:r w:rsidRPr="004E6B7E">
        <w:rPr>
          <w:rFonts w:ascii="Century Gothic" w:hAnsi="Century Gothic" w:cstheme="minorHAnsi"/>
        </w:rPr>
        <w:t>When abroad, staff should abide by all laws and be aware that there may be local customs that should be considered.</w:t>
      </w:r>
    </w:p>
    <w:p w14:paraId="5EF52531" w14:textId="77777777" w:rsidR="004E6B7E" w:rsidRPr="004E6B7E" w:rsidRDefault="004E6B7E" w:rsidP="004E6B7E">
      <w:pPr>
        <w:spacing w:after="200" w:line="276" w:lineRule="auto"/>
        <w:rPr>
          <w:rFonts w:ascii="Century Gothic" w:eastAsia="Calibri" w:hAnsi="Century Gothic" w:cstheme="minorHAnsi"/>
          <w:b/>
        </w:rPr>
      </w:pPr>
      <w:r w:rsidRPr="004E6B7E">
        <w:rPr>
          <w:rFonts w:ascii="Century Gothic" w:eastAsia="Calibri" w:hAnsi="Century Gothic" w:cstheme="minorHAnsi"/>
          <w:b/>
        </w:rPr>
        <w:br w:type="page"/>
      </w:r>
    </w:p>
    <w:p w14:paraId="7DA0B8D1"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lastRenderedPageBreak/>
        <w:t>Students</w:t>
      </w:r>
    </w:p>
    <w:p w14:paraId="19DF18F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All students participating in educational visits will:</w:t>
      </w:r>
    </w:p>
    <w:p w14:paraId="1ECDC36E" w14:textId="77777777" w:rsidR="004E6B7E" w:rsidRPr="004E6B7E" w:rsidRDefault="004E6B7E" w:rsidP="004E6B7E">
      <w:pPr>
        <w:pStyle w:val="ListParagraph"/>
        <w:numPr>
          <w:ilvl w:val="0"/>
          <w:numId w:val="37"/>
        </w:numPr>
        <w:spacing w:line="276" w:lineRule="auto"/>
        <w:rPr>
          <w:rFonts w:ascii="Century Gothic" w:hAnsi="Century Gothic" w:cstheme="minorHAnsi"/>
        </w:rPr>
      </w:pPr>
      <w:r w:rsidRPr="004E6B7E">
        <w:rPr>
          <w:rFonts w:ascii="Century Gothic" w:hAnsi="Century Gothic" w:cstheme="minorHAnsi"/>
        </w:rPr>
        <w:t>Follow the school behaviour policy as this still applies during an educational visit</w:t>
      </w:r>
    </w:p>
    <w:p w14:paraId="56CF0490" w14:textId="77777777" w:rsidR="004E6B7E" w:rsidRPr="004E6B7E" w:rsidRDefault="004E6B7E" w:rsidP="004E6B7E">
      <w:pPr>
        <w:pStyle w:val="ListParagraph"/>
        <w:numPr>
          <w:ilvl w:val="0"/>
          <w:numId w:val="37"/>
        </w:numPr>
        <w:spacing w:line="276" w:lineRule="auto"/>
        <w:rPr>
          <w:rFonts w:ascii="Century Gothic" w:hAnsi="Century Gothic" w:cstheme="minorHAnsi"/>
        </w:rPr>
      </w:pPr>
      <w:r w:rsidRPr="004E6B7E">
        <w:rPr>
          <w:rFonts w:ascii="Century Gothic" w:hAnsi="Century Gothic" w:cstheme="minorHAnsi"/>
        </w:rPr>
        <w:t>Understand that they have a responsibility to avoid unnecessary risks</w:t>
      </w:r>
    </w:p>
    <w:p w14:paraId="5EEEEB97" w14:textId="77777777" w:rsidR="004E6B7E" w:rsidRPr="004E6B7E" w:rsidRDefault="004E6B7E" w:rsidP="004E6B7E">
      <w:pPr>
        <w:pStyle w:val="ListParagraph"/>
        <w:numPr>
          <w:ilvl w:val="0"/>
          <w:numId w:val="37"/>
        </w:numPr>
        <w:spacing w:line="276" w:lineRule="auto"/>
        <w:rPr>
          <w:rFonts w:ascii="Century Gothic" w:hAnsi="Century Gothic" w:cstheme="minorHAnsi"/>
        </w:rPr>
      </w:pPr>
      <w:r w:rsidRPr="004E6B7E">
        <w:rPr>
          <w:rFonts w:ascii="Century Gothic" w:hAnsi="Century Gothic" w:cstheme="minorHAnsi"/>
        </w:rPr>
        <w:t>Follow the instructions of the Visit Leader and other members of the Supervision Team.</w:t>
      </w:r>
    </w:p>
    <w:p w14:paraId="0ED0F38C" w14:textId="77777777" w:rsidR="004E6B7E" w:rsidRPr="004E6B7E" w:rsidRDefault="004E6B7E" w:rsidP="004E6B7E">
      <w:pPr>
        <w:pStyle w:val="ListParagraph"/>
        <w:numPr>
          <w:ilvl w:val="0"/>
          <w:numId w:val="37"/>
        </w:numPr>
        <w:spacing w:line="276" w:lineRule="auto"/>
        <w:rPr>
          <w:rFonts w:ascii="Century Gothic" w:hAnsi="Century Gothic" w:cstheme="minorHAnsi"/>
        </w:rPr>
      </w:pPr>
      <w:r w:rsidRPr="004E6B7E">
        <w:rPr>
          <w:rFonts w:ascii="Century Gothic" w:hAnsi="Century Gothic" w:cstheme="minorHAnsi"/>
        </w:rPr>
        <w:t>Behave sensibly at all times, keeping to any agreed visit code of conduct.</w:t>
      </w:r>
    </w:p>
    <w:p w14:paraId="011C06B9" w14:textId="77777777" w:rsidR="004E6B7E" w:rsidRPr="004E6B7E" w:rsidRDefault="004E6B7E" w:rsidP="004E6B7E">
      <w:pPr>
        <w:pStyle w:val="ListParagraph"/>
        <w:numPr>
          <w:ilvl w:val="0"/>
          <w:numId w:val="37"/>
        </w:numPr>
        <w:spacing w:line="276" w:lineRule="auto"/>
        <w:rPr>
          <w:rFonts w:ascii="Century Gothic" w:hAnsi="Century Gothic" w:cstheme="minorHAnsi"/>
        </w:rPr>
      </w:pPr>
      <w:r w:rsidRPr="004E6B7E">
        <w:rPr>
          <w:rFonts w:ascii="Century Gothic" w:hAnsi="Century Gothic" w:cstheme="minorHAnsi"/>
        </w:rPr>
        <w:t>Inform a member of staff if they become aware of any significant hazards or if there is anything that they are concerned about.</w:t>
      </w:r>
    </w:p>
    <w:p w14:paraId="2B3A97E9" w14:textId="77777777" w:rsidR="004E6B7E" w:rsidRPr="004E6B7E" w:rsidRDefault="004E6B7E" w:rsidP="004E6B7E">
      <w:pPr>
        <w:contextualSpacing/>
        <w:rPr>
          <w:rFonts w:ascii="Century Gothic" w:eastAsia="Calibri" w:hAnsi="Century Gothic" w:cstheme="minorHAnsi"/>
        </w:rPr>
      </w:pPr>
    </w:p>
    <w:p w14:paraId="01E2A20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b/>
        </w:rPr>
        <w:t>Parents, Carers and Guardians</w:t>
      </w:r>
      <w:r w:rsidRPr="004E6B7E">
        <w:rPr>
          <w:rFonts w:ascii="Century Gothic" w:eastAsia="Calibri" w:hAnsi="Century Gothic" w:cstheme="minorHAnsi"/>
        </w:rPr>
        <w:t xml:space="preserve"> </w:t>
      </w:r>
    </w:p>
    <w:p w14:paraId="6E6EF0D2"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Parents, carers and guardians of students involved in the educational visit should:</w:t>
      </w:r>
    </w:p>
    <w:p w14:paraId="31199DAB" w14:textId="77777777" w:rsidR="004E6B7E" w:rsidRPr="004E6B7E" w:rsidRDefault="004E6B7E" w:rsidP="004E6B7E">
      <w:pPr>
        <w:pStyle w:val="ListParagraph"/>
        <w:numPr>
          <w:ilvl w:val="0"/>
          <w:numId w:val="38"/>
        </w:numPr>
        <w:spacing w:line="276" w:lineRule="auto"/>
        <w:rPr>
          <w:rFonts w:ascii="Century Gothic" w:hAnsi="Century Gothic" w:cstheme="minorHAnsi"/>
        </w:rPr>
      </w:pPr>
      <w:r w:rsidRPr="004E6B7E">
        <w:rPr>
          <w:rFonts w:ascii="Century Gothic" w:hAnsi="Century Gothic" w:cstheme="minorHAnsi"/>
        </w:rPr>
        <w:t>Understand that they have an important role in deciding whether any educational visit or activity is suitable for their son/daughter.</w:t>
      </w:r>
    </w:p>
    <w:p w14:paraId="3EC2752C" w14:textId="77777777" w:rsidR="004E6B7E" w:rsidRPr="004E6B7E" w:rsidRDefault="004E6B7E" w:rsidP="004E6B7E">
      <w:pPr>
        <w:pStyle w:val="ListParagraph"/>
        <w:numPr>
          <w:ilvl w:val="0"/>
          <w:numId w:val="38"/>
        </w:numPr>
        <w:spacing w:line="276" w:lineRule="auto"/>
        <w:rPr>
          <w:rFonts w:ascii="Century Gothic" w:hAnsi="Century Gothic" w:cstheme="minorHAnsi"/>
        </w:rPr>
      </w:pPr>
      <w:r w:rsidRPr="004E6B7E">
        <w:rPr>
          <w:rFonts w:ascii="Century Gothic" w:hAnsi="Century Gothic" w:cstheme="minorHAnsi"/>
        </w:rPr>
        <w:t>Inform the Visit Leader about any medical, psychological or physical condition relevant to the visit.</w:t>
      </w:r>
    </w:p>
    <w:p w14:paraId="451600D6" w14:textId="77777777" w:rsidR="004E6B7E" w:rsidRPr="004E6B7E" w:rsidRDefault="004E6B7E" w:rsidP="004E6B7E">
      <w:pPr>
        <w:pStyle w:val="ListParagraph"/>
        <w:numPr>
          <w:ilvl w:val="0"/>
          <w:numId w:val="38"/>
        </w:numPr>
        <w:spacing w:line="276" w:lineRule="auto"/>
        <w:rPr>
          <w:rFonts w:ascii="Century Gothic" w:hAnsi="Century Gothic" w:cstheme="minorHAnsi"/>
        </w:rPr>
      </w:pPr>
      <w:r w:rsidRPr="004E6B7E">
        <w:rPr>
          <w:rFonts w:ascii="Century Gothic" w:hAnsi="Century Gothic" w:cstheme="minorHAnsi"/>
        </w:rPr>
        <w:t>Provide an emergency contact number on which they will be available at all times.</w:t>
      </w:r>
    </w:p>
    <w:p w14:paraId="782AE223" w14:textId="77777777" w:rsidR="004E6B7E" w:rsidRPr="004E6B7E" w:rsidRDefault="004E6B7E" w:rsidP="004E6B7E">
      <w:pPr>
        <w:pStyle w:val="ListParagraph"/>
        <w:numPr>
          <w:ilvl w:val="0"/>
          <w:numId w:val="38"/>
        </w:numPr>
        <w:spacing w:line="276" w:lineRule="auto"/>
        <w:rPr>
          <w:rFonts w:ascii="Century Gothic" w:hAnsi="Century Gothic" w:cstheme="minorHAnsi"/>
        </w:rPr>
      </w:pPr>
      <w:r w:rsidRPr="004E6B7E">
        <w:rPr>
          <w:rFonts w:ascii="Century Gothic" w:hAnsi="Century Gothic" w:cstheme="minorHAnsi"/>
        </w:rPr>
        <w:t>Sign the consent form.</w:t>
      </w:r>
    </w:p>
    <w:p w14:paraId="20325519" w14:textId="77777777" w:rsidR="004E6B7E" w:rsidRPr="004E6B7E" w:rsidRDefault="004E6B7E" w:rsidP="004E6B7E">
      <w:pPr>
        <w:pStyle w:val="ListParagraph"/>
        <w:numPr>
          <w:ilvl w:val="0"/>
          <w:numId w:val="38"/>
        </w:numPr>
        <w:spacing w:line="276" w:lineRule="auto"/>
        <w:rPr>
          <w:rFonts w:ascii="Century Gothic" w:hAnsi="Century Gothic" w:cstheme="minorHAnsi"/>
        </w:rPr>
      </w:pPr>
      <w:r w:rsidRPr="004E6B7E">
        <w:rPr>
          <w:rFonts w:ascii="Century Gothic" w:hAnsi="Century Gothic" w:cstheme="minorHAnsi"/>
        </w:rPr>
        <w:t>Be responsible for ensuring that their son/daughter has the correct travel documentation for overseas visits and re-entry into the UK.</w:t>
      </w:r>
    </w:p>
    <w:p w14:paraId="45F767A3" w14:textId="77777777" w:rsidR="004E6B7E" w:rsidRPr="004E6B7E" w:rsidRDefault="004E6B7E" w:rsidP="004E6B7E">
      <w:pPr>
        <w:contextualSpacing/>
        <w:rPr>
          <w:rFonts w:ascii="Century Gothic" w:eastAsia="Calibri" w:hAnsi="Century Gothic" w:cstheme="minorHAnsi"/>
          <w:b/>
        </w:rPr>
      </w:pPr>
    </w:p>
    <w:p w14:paraId="3F4FC3F6"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Wiltshire Council LOTC Safety Adviser</w:t>
      </w:r>
    </w:p>
    <w:p w14:paraId="721D95D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As part of the Wiltshire Council LOTC Service, the school has access to technical advice, guidance and expertise from the Learning Outside the Classroom Safety Adviser. This advice, guidance and expertise is used to help inform the planning, management and delivery of the LOTC activities and to ensure that they offer safe, high quality learning experiences.</w:t>
      </w:r>
    </w:p>
    <w:p w14:paraId="740A8BBB" w14:textId="77777777" w:rsidR="004E6B7E" w:rsidRPr="004E6B7E" w:rsidRDefault="004E6B7E" w:rsidP="004E6B7E">
      <w:pPr>
        <w:contextualSpacing/>
        <w:rPr>
          <w:rFonts w:ascii="Century Gothic" w:eastAsia="Calibri" w:hAnsi="Century Gothic" w:cstheme="minorHAnsi"/>
        </w:rPr>
      </w:pPr>
    </w:p>
    <w:p w14:paraId="539F8655"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Those submissions that involve higher risk activities are subject to further scrutiny and are Approved by the Learning Outside the Classroom Safety Adviser via the EVOLVE system. These include;</w:t>
      </w:r>
    </w:p>
    <w:p w14:paraId="29F15F65" w14:textId="77777777" w:rsidR="004E6B7E" w:rsidRPr="004E6B7E" w:rsidRDefault="004E6B7E" w:rsidP="004E6B7E">
      <w:pPr>
        <w:contextualSpacing/>
        <w:rPr>
          <w:rFonts w:ascii="Century Gothic" w:eastAsia="Calibri" w:hAnsi="Century Gothic" w:cstheme="minorHAnsi"/>
        </w:rPr>
      </w:pPr>
    </w:p>
    <w:p w14:paraId="2BE56A7A" w14:textId="77777777" w:rsidR="004E6B7E" w:rsidRPr="004E6B7E" w:rsidRDefault="004E6B7E" w:rsidP="004E6B7E">
      <w:pPr>
        <w:numPr>
          <w:ilvl w:val="0"/>
          <w:numId w:val="29"/>
        </w:numPr>
        <w:spacing w:after="200"/>
        <w:contextualSpacing/>
        <w:rPr>
          <w:rFonts w:ascii="Century Gothic" w:eastAsia="Calibri" w:hAnsi="Century Gothic" w:cstheme="minorHAnsi"/>
        </w:rPr>
      </w:pPr>
      <w:r w:rsidRPr="004E6B7E">
        <w:rPr>
          <w:rFonts w:ascii="Century Gothic" w:eastAsia="Calibri" w:hAnsi="Century Gothic" w:cstheme="minorHAnsi"/>
        </w:rPr>
        <w:t>overseas visits</w:t>
      </w:r>
    </w:p>
    <w:p w14:paraId="1B329A6C" w14:textId="77777777" w:rsidR="004E6B7E" w:rsidRPr="004E6B7E" w:rsidRDefault="004E6B7E" w:rsidP="004E6B7E">
      <w:pPr>
        <w:numPr>
          <w:ilvl w:val="0"/>
          <w:numId w:val="29"/>
        </w:numPr>
        <w:spacing w:after="200"/>
        <w:contextualSpacing/>
        <w:rPr>
          <w:rFonts w:ascii="Century Gothic" w:eastAsia="Calibri" w:hAnsi="Century Gothic" w:cstheme="minorHAnsi"/>
        </w:rPr>
      </w:pPr>
      <w:r w:rsidRPr="004E6B7E">
        <w:rPr>
          <w:rFonts w:ascii="Century Gothic" w:eastAsia="Calibri" w:hAnsi="Century Gothic" w:cstheme="minorHAnsi"/>
        </w:rPr>
        <w:t>residential visits</w:t>
      </w:r>
    </w:p>
    <w:p w14:paraId="7F5ADB60" w14:textId="77777777" w:rsidR="004E6B7E" w:rsidRPr="004E6B7E" w:rsidRDefault="004E6B7E" w:rsidP="004E6B7E">
      <w:pPr>
        <w:numPr>
          <w:ilvl w:val="0"/>
          <w:numId w:val="29"/>
        </w:numPr>
        <w:spacing w:after="200"/>
        <w:contextualSpacing/>
        <w:rPr>
          <w:rFonts w:ascii="Century Gothic" w:eastAsia="Calibri" w:hAnsi="Century Gothic" w:cstheme="minorHAnsi"/>
        </w:rPr>
      </w:pPr>
      <w:r w:rsidRPr="004E6B7E">
        <w:rPr>
          <w:rFonts w:ascii="Century Gothic" w:eastAsia="Calibri" w:hAnsi="Century Gothic" w:cstheme="minorHAnsi"/>
        </w:rPr>
        <w:t xml:space="preserve">adventurous activities </w:t>
      </w:r>
    </w:p>
    <w:p w14:paraId="5B9EF047" w14:textId="77777777" w:rsidR="004E6B7E" w:rsidRPr="004E6B7E" w:rsidRDefault="004E6B7E" w:rsidP="004E6B7E">
      <w:pPr>
        <w:numPr>
          <w:ilvl w:val="0"/>
          <w:numId w:val="29"/>
        </w:numPr>
        <w:spacing w:after="200"/>
        <w:contextualSpacing/>
        <w:rPr>
          <w:rFonts w:ascii="Century Gothic" w:eastAsia="Calibri" w:hAnsi="Century Gothic" w:cstheme="minorHAnsi"/>
        </w:rPr>
      </w:pPr>
      <w:r w:rsidRPr="004E6B7E">
        <w:rPr>
          <w:rFonts w:ascii="Century Gothic" w:eastAsia="Calibri" w:hAnsi="Century Gothic" w:cstheme="minorHAnsi"/>
        </w:rPr>
        <w:t>activities in, on or around open water or the sea</w:t>
      </w:r>
    </w:p>
    <w:p w14:paraId="7B74BE1D" w14:textId="77777777" w:rsidR="004E6B7E" w:rsidRPr="004E6B7E" w:rsidRDefault="004E6B7E" w:rsidP="004E6B7E">
      <w:pPr>
        <w:contextualSpacing/>
        <w:rPr>
          <w:rFonts w:ascii="Century Gothic" w:eastAsia="Calibri" w:hAnsi="Century Gothic" w:cstheme="minorHAnsi"/>
        </w:rPr>
      </w:pPr>
    </w:p>
    <w:p w14:paraId="48AE5512"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b/>
        </w:rPr>
        <w:t xml:space="preserve">A minimum of 28 </w:t>
      </w:r>
      <w:proofErr w:type="spellStart"/>
      <w:r w:rsidRPr="004E6B7E">
        <w:rPr>
          <w:rFonts w:ascii="Century Gothic" w:eastAsia="Calibri" w:hAnsi="Century Gothic" w:cstheme="minorHAnsi"/>
          <w:b/>
        </w:rPr>
        <w:t>days notice</w:t>
      </w:r>
      <w:proofErr w:type="spellEnd"/>
      <w:r w:rsidRPr="004E6B7E">
        <w:rPr>
          <w:rFonts w:ascii="Century Gothic" w:eastAsia="Calibri" w:hAnsi="Century Gothic" w:cstheme="minorHAnsi"/>
          <w:b/>
        </w:rPr>
        <w:t xml:space="preserve"> is required</w:t>
      </w:r>
      <w:r w:rsidRPr="004E6B7E">
        <w:rPr>
          <w:rFonts w:ascii="Century Gothic" w:eastAsia="Calibri" w:hAnsi="Century Gothic" w:cstheme="minorHAnsi"/>
        </w:rPr>
        <w:t xml:space="preserve"> to allow sufficient time for feedback and amendments to be made prior to the departure. </w:t>
      </w:r>
    </w:p>
    <w:p w14:paraId="63027B2A" w14:textId="77777777" w:rsidR="004E6B7E" w:rsidRPr="004E6B7E" w:rsidRDefault="004E6B7E" w:rsidP="004E6B7E">
      <w:pPr>
        <w:spacing w:after="200" w:line="276" w:lineRule="auto"/>
        <w:rPr>
          <w:rFonts w:ascii="Century Gothic" w:eastAsia="Calibri" w:hAnsi="Century Gothic" w:cstheme="minorHAnsi"/>
          <w:b/>
        </w:rPr>
      </w:pPr>
      <w:r w:rsidRPr="004E6B7E">
        <w:rPr>
          <w:rFonts w:ascii="Century Gothic" w:eastAsia="Calibri" w:hAnsi="Century Gothic" w:cstheme="minorHAnsi"/>
          <w:b/>
        </w:rPr>
        <w:br w:type="page"/>
      </w:r>
    </w:p>
    <w:p w14:paraId="713BDC1D" w14:textId="77777777" w:rsidR="004E6B7E" w:rsidRPr="004E6B7E" w:rsidRDefault="004E6B7E" w:rsidP="004E6B7E">
      <w:pPr>
        <w:contextualSpacing/>
        <w:rPr>
          <w:rFonts w:ascii="Century Gothic" w:eastAsia="Calibri" w:hAnsi="Century Gothic" w:cstheme="minorHAnsi"/>
          <w:b/>
        </w:rPr>
      </w:pPr>
    </w:p>
    <w:p w14:paraId="207826EB" w14:textId="77777777" w:rsidR="004E6B7E" w:rsidRPr="004E6B7E" w:rsidRDefault="004E6B7E" w:rsidP="004E6B7E">
      <w:pPr>
        <w:pStyle w:val="ListParagraph"/>
        <w:numPr>
          <w:ilvl w:val="0"/>
          <w:numId w:val="39"/>
        </w:numPr>
        <w:spacing w:line="276" w:lineRule="auto"/>
        <w:ind w:left="284" w:hanging="284"/>
        <w:rPr>
          <w:rFonts w:ascii="Century Gothic" w:hAnsi="Century Gothic" w:cstheme="minorHAnsi"/>
          <w:b/>
        </w:rPr>
      </w:pPr>
      <w:r w:rsidRPr="004E6B7E">
        <w:rPr>
          <w:rFonts w:ascii="Century Gothic" w:hAnsi="Century Gothic" w:cstheme="minorHAnsi"/>
          <w:b/>
        </w:rPr>
        <w:t>Procedural requirements</w:t>
      </w:r>
    </w:p>
    <w:p w14:paraId="3C79CBE1" w14:textId="77777777" w:rsidR="004E6B7E" w:rsidRPr="004E6B7E" w:rsidRDefault="004E6B7E" w:rsidP="004E6B7E">
      <w:pPr>
        <w:contextualSpacing/>
        <w:rPr>
          <w:rFonts w:ascii="Century Gothic" w:eastAsia="Calibri" w:hAnsi="Century Gothic" w:cstheme="minorHAnsi"/>
          <w:b/>
          <w:color w:val="000000" w:themeColor="text1"/>
        </w:rPr>
      </w:pPr>
      <w:r w:rsidRPr="004E6B7E">
        <w:rPr>
          <w:rFonts w:ascii="Century Gothic" w:eastAsia="Calibri" w:hAnsi="Century Gothic" w:cstheme="minorHAnsi"/>
          <w:b/>
          <w:color w:val="000000" w:themeColor="text1"/>
        </w:rPr>
        <w:t>Supervision Ratios</w:t>
      </w:r>
    </w:p>
    <w:p w14:paraId="278F4DA8"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Visit Leaders must ensure that young people are supervised in accordance with the principles of ‘effective supervision’ requiring them to take account of:</w:t>
      </w:r>
    </w:p>
    <w:p w14:paraId="3FA2F47B" w14:textId="77777777" w:rsidR="004E6B7E" w:rsidRPr="004E6B7E" w:rsidRDefault="004E6B7E" w:rsidP="004E6B7E">
      <w:pPr>
        <w:numPr>
          <w:ilvl w:val="0"/>
          <w:numId w:val="40"/>
        </w:numPr>
        <w:spacing w:line="240" w:lineRule="auto"/>
        <w:contextualSpacing/>
        <w:rPr>
          <w:rFonts w:ascii="Century Gothic" w:eastAsia="Calibri" w:hAnsi="Century Gothic" w:cstheme="minorHAnsi"/>
        </w:rPr>
      </w:pPr>
      <w:r w:rsidRPr="004E6B7E">
        <w:rPr>
          <w:rFonts w:ascii="Century Gothic" w:eastAsia="Calibri" w:hAnsi="Century Gothic" w:cstheme="minorHAnsi"/>
        </w:rPr>
        <w:t>The nature of the activity (including its duration)</w:t>
      </w:r>
    </w:p>
    <w:p w14:paraId="6989F357" w14:textId="77777777" w:rsidR="004E6B7E" w:rsidRPr="004E6B7E" w:rsidRDefault="004E6B7E" w:rsidP="004E6B7E">
      <w:pPr>
        <w:numPr>
          <w:ilvl w:val="0"/>
          <w:numId w:val="40"/>
        </w:numPr>
        <w:spacing w:line="240" w:lineRule="auto"/>
        <w:contextualSpacing/>
        <w:rPr>
          <w:rFonts w:ascii="Century Gothic" w:eastAsia="Calibri" w:hAnsi="Century Gothic" w:cstheme="minorHAnsi"/>
        </w:rPr>
      </w:pPr>
      <w:r w:rsidRPr="004E6B7E">
        <w:rPr>
          <w:rFonts w:ascii="Century Gothic" w:eastAsia="Calibri" w:hAnsi="Century Gothic" w:cstheme="minorHAnsi"/>
        </w:rPr>
        <w:t>The location and environment in which the activity is to take place</w:t>
      </w:r>
    </w:p>
    <w:p w14:paraId="6C493695" w14:textId="77777777" w:rsidR="004E6B7E" w:rsidRPr="004E6B7E" w:rsidRDefault="004E6B7E" w:rsidP="004E6B7E">
      <w:pPr>
        <w:numPr>
          <w:ilvl w:val="0"/>
          <w:numId w:val="40"/>
        </w:numPr>
        <w:spacing w:line="240" w:lineRule="auto"/>
        <w:contextualSpacing/>
        <w:rPr>
          <w:rFonts w:ascii="Century Gothic" w:eastAsia="Calibri" w:hAnsi="Century Gothic" w:cstheme="minorHAnsi"/>
        </w:rPr>
      </w:pPr>
      <w:r w:rsidRPr="004E6B7E">
        <w:rPr>
          <w:rFonts w:ascii="Century Gothic" w:eastAsia="Calibri" w:hAnsi="Century Gothic" w:cstheme="minorHAnsi"/>
        </w:rPr>
        <w:t>The age and gender (including developmental age) of the young people to be supervised</w:t>
      </w:r>
    </w:p>
    <w:p w14:paraId="4FBFD422" w14:textId="77777777" w:rsidR="004E6B7E" w:rsidRPr="004E6B7E" w:rsidRDefault="004E6B7E" w:rsidP="004E6B7E">
      <w:pPr>
        <w:numPr>
          <w:ilvl w:val="0"/>
          <w:numId w:val="40"/>
        </w:numPr>
        <w:spacing w:line="240" w:lineRule="auto"/>
        <w:contextualSpacing/>
        <w:rPr>
          <w:rFonts w:ascii="Century Gothic" w:eastAsia="Calibri" w:hAnsi="Century Gothic" w:cstheme="minorHAnsi"/>
        </w:rPr>
      </w:pPr>
      <w:r w:rsidRPr="004E6B7E">
        <w:rPr>
          <w:rFonts w:ascii="Century Gothic" w:eastAsia="Calibri" w:hAnsi="Century Gothic" w:cstheme="minorHAnsi"/>
        </w:rPr>
        <w:t>The ability of the young people (including behavioural, medical, emotional and educational needs)</w:t>
      </w:r>
    </w:p>
    <w:p w14:paraId="0D3A0CAC" w14:textId="77777777" w:rsidR="004E6B7E" w:rsidRPr="004E6B7E" w:rsidRDefault="004E6B7E" w:rsidP="004E6B7E">
      <w:pPr>
        <w:numPr>
          <w:ilvl w:val="0"/>
          <w:numId w:val="40"/>
        </w:numPr>
        <w:spacing w:line="240" w:lineRule="auto"/>
        <w:contextualSpacing/>
        <w:rPr>
          <w:rFonts w:ascii="Century Gothic" w:eastAsia="Calibri" w:hAnsi="Century Gothic" w:cstheme="minorHAnsi"/>
        </w:rPr>
      </w:pPr>
      <w:r w:rsidRPr="004E6B7E">
        <w:rPr>
          <w:rFonts w:ascii="Century Gothic" w:eastAsia="Calibri" w:hAnsi="Century Gothic" w:cstheme="minorHAnsi"/>
        </w:rPr>
        <w:t>The competence, experience and confidence of the Supervising Team.</w:t>
      </w:r>
    </w:p>
    <w:p w14:paraId="0704E0AE" w14:textId="77777777" w:rsidR="004E6B7E" w:rsidRPr="004E6B7E" w:rsidRDefault="004E6B7E" w:rsidP="004E6B7E">
      <w:pPr>
        <w:contextualSpacing/>
        <w:rPr>
          <w:rFonts w:ascii="Century Gothic" w:eastAsia="Calibri" w:hAnsi="Century Gothic" w:cstheme="minorHAnsi"/>
        </w:rPr>
      </w:pPr>
      <w:proofErr w:type="gramStart"/>
      <w:r w:rsidRPr="004E6B7E">
        <w:rPr>
          <w:rFonts w:ascii="Century Gothic" w:eastAsia="Calibri" w:hAnsi="Century Gothic" w:cstheme="minorHAnsi"/>
        </w:rPr>
        <w:t>Therefore</w:t>
      </w:r>
      <w:proofErr w:type="gramEnd"/>
      <w:r w:rsidRPr="004E6B7E">
        <w:rPr>
          <w:rFonts w:ascii="Century Gothic" w:eastAsia="Calibri" w:hAnsi="Century Gothic" w:cstheme="minorHAnsi"/>
        </w:rPr>
        <w:t xml:space="preserve"> the arrangements for supervision including staff/student ratios, must take into account the nature of a group and the individuals in it and each visit must be considered on a case by case basis. </w:t>
      </w:r>
    </w:p>
    <w:p w14:paraId="612C1D8B" w14:textId="77777777" w:rsidR="004E6B7E" w:rsidRPr="004E6B7E" w:rsidRDefault="004E6B7E" w:rsidP="004E6B7E">
      <w:pPr>
        <w:contextualSpacing/>
        <w:rPr>
          <w:rFonts w:ascii="Century Gothic" w:eastAsia="Calibri" w:hAnsi="Century Gothic" w:cstheme="minorHAnsi"/>
        </w:rPr>
      </w:pPr>
    </w:p>
    <w:p w14:paraId="74764F62"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Ratios are a risk management issue and should be determined through the process of risk assessment. It is not possible to set down definitive staff/ student ratios for a particular age group or activity, although as a starting point, the school requires Visit Leader to use the following supervision ratios as a minimum requirement for non-hazardous activities;</w:t>
      </w:r>
    </w:p>
    <w:p w14:paraId="79D06666" w14:textId="77777777" w:rsidR="004E6B7E" w:rsidRPr="004E6B7E" w:rsidRDefault="004E6B7E" w:rsidP="004E6B7E">
      <w:pPr>
        <w:contextualSpacing/>
        <w:rPr>
          <w:rFonts w:ascii="Century Gothic" w:eastAsia="Calibri" w:hAnsi="Century Gothic" w:cstheme="minorHAnsi"/>
        </w:rPr>
      </w:pPr>
    </w:p>
    <w:p w14:paraId="4AF54460"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Primary School pupils</w:t>
      </w:r>
    </w:p>
    <w:tbl>
      <w:tblPr>
        <w:tblStyle w:val="TableGrid"/>
        <w:tblW w:w="10485" w:type="dxa"/>
        <w:tblLayout w:type="fixed"/>
        <w:tblLook w:val="04A0" w:firstRow="1" w:lastRow="0" w:firstColumn="1" w:lastColumn="0" w:noHBand="0" w:noVBand="1"/>
      </w:tblPr>
      <w:tblGrid>
        <w:gridCol w:w="2689"/>
        <w:gridCol w:w="1417"/>
        <w:gridCol w:w="851"/>
        <w:gridCol w:w="5528"/>
      </w:tblGrid>
      <w:tr w:rsidR="004E6B7E" w:rsidRPr="004E6B7E" w14:paraId="4165300D" w14:textId="77777777" w:rsidTr="00E12855">
        <w:tc>
          <w:tcPr>
            <w:tcW w:w="2689" w:type="dxa"/>
          </w:tcPr>
          <w:p w14:paraId="3E4CF150"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Nature of activity</w:t>
            </w:r>
          </w:p>
        </w:tc>
        <w:tc>
          <w:tcPr>
            <w:tcW w:w="1417" w:type="dxa"/>
          </w:tcPr>
          <w:p w14:paraId="28D26D1F"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Year group</w:t>
            </w:r>
          </w:p>
        </w:tc>
        <w:tc>
          <w:tcPr>
            <w:tcW w:w="851" w:type="dxa"/>
          </w:tcPr>
          <w:p w14:paraId="2BB0F6AF"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Ratio</w:t>
            </w:r>
          </w:p>
        </w:tc>
        <w:tc>
          <w:tcPr>
            <w:tcW w:w="5528" w:type="dxa"/>
          </w:tcPr>
          <w:p w14:paraId="3EF468CC"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Additional guidance</w:t>
            </w:r>
          </w:p>
        </w:tc>
      </w:tr>
      <w:tr w:rsidR="004E6B7E" w:rsidRPr="004E6B7E" w14:paraId="6BAA4F28" w14:textId="77777777" w:rsidTr="00E12855">
        <w:tc>
          <w:tcPr>
            <w:tcW w:w="2689" w:type="dxa"/>
            <w:vMerge w:val="restart"/>
          </w:tcPr>
          <w:p w14:paraId="61F149AC"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Day visit in the UK</w:t>
            </w:r>
          </w:p>
        </w:tc>
        <w:tc>
          <w:tcPr>
            <w:tcW w:w="1417" w:type="dxa"/>
          </w:tcPr>
          <w:p w14:paraId="00A43B5B"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FS</w:t>
            </w:r>
            <w:proofErr w:type="gramStart"/>
            <w:r w:rsidRPr="004E6B7E">
              <w:rPr>
                <w:rFonts w:ascii="Century Gothic" w:eastAsia="Calibri" w:hAnsi="Century Gothic" w:cstheme="minorHAnsi"/>
              </w:rPr>
              <w:t>2 ,</w:t>
            </w:r>
            <w:proofErr w:type="gramEnd"/>
            <w:r w:rsidRPr="004E6B7E">
              <w:rPr>
                <w:rFonts w:ascii="Century Gothic" w:eastAsia="Calibri" w:hAnsi="Century Gothic" w:cstheme="minorHAnsi"/>
              </w:rPr>
              <w:t xml:space="preserve"> Y1-Y3</w:t>
            </w:r>
          </w:p>
        </w:tc>
        <w:tc>
          <w:tcPr>
            <w:tcW w:w="851" w:type="dxa"/>
          </w:tcPr>
          <w:p w14:paraId="3785CCCE"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1:6</w:t>
            </w:r>
          </w:p>
        </w:tc>
        <w:tc>
          <w:tcPr>
            <w:tcW w:w="5528" w:type="dxa"/>
            <w:vMerge w:val="restart"/>
          </w:tcPr>
          <w:p w14:paraId="230EBDE6"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Minimum of 2 accompanying adults</w:t>
            </w:r>
          </w:p>
          <w:p w14:paraId="0797F54D" w14:textId="77777777" w:rsidR="004E6B7E" w:rsidRPr="004E6B7E" w:rsidRDefault="004E6B7E" w:rsidP="00E12855">
            <w:pPr>
              <w:spacing w:after="160"/>
              <w:contextualSpacing/>
              <w:rPr>
                <w:rFonts w:ascii="Century Gothic" w:eastAsia="Calibri" w:hAnsi="Century Gothic" w:cstheme="minorHAnsi"/>
              </w:rPr>
            </w:pPr>
          </w:p>
        </w:tc>
      </w:tr>
      <w:tr w:rsidR="004E6B7E" w:rsidRPr="004E6B7E" w14:paraId="37A81B92" w14:textId="77777777" w:rsidTr="00E12855">
        <w:tc>
          <w:tcPr>
            <w:tcW w:w="2689" w:type="dxa"/>
            <w:vMerge/>
          </w:tcPr>
          <w:p w14:paraId="7FAB969B" w14:textId="77777777" w:rsidR="004E6B7E" w:rsidRPr="004E6B7E" w:rsidRDefault="004E6B7E" w:rsidP="00E12855">
            <w:pPr>
              <w:spacing w:after="160"/>
              <w:contextualSpacing/>
              <w:rPr>
                <w:rFonts w:ascii="Century Gothic" w:eastAsia="Calibri" w:hAnsi="Century Gothic" w:cstheme="minorHAnsi"/>
              </w:rPr>
            </w:pPr>
          </w:p>
        </w:tc>
        <w:tc>
          <w:tcPr>
            <w:tcW w:w="1417" w:type="dxa"/>
          </w:tcPr>
          <w:p w14:paraId="74BDB9DB"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Y4 – Y6</w:t>
            </w:r>
          </w:p>
        </w:tc>
        <w:tc>
          <w:tcPr>
            <w:tcW w:w="851" w:type="dxa"/>
          </w:tcPr>
          <w:p w14:paraId="2D900903"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1:15</w:t>
            </w:r>
          </w:p>
        </w:tc>
        <w:tc>
          <w:tcPr>
            <w:tcW w:w="5528" w:type="dxa"/>
            <w:vMerge/>
          </w:tcPr>
          <w:p w14:paraId="09B674B6" w14:textId="77777777" w:rsidR="004E6B7E" w:rsidRPr="004E6B7E" w:rsidRDefault="004E6B7E" w:rsidP="00E12855">
            <w:pPr>
              <w:spacing w:after="160"/>
              <w:contextualSpacing/>
              <w:rPr>
                <w:rFonts w:ascii="Century Gothic" w:eastAsia="Calibri" w:hAnsi="Century Gothic" w:cstheme="minorHAnsi"/>
              </w:rPr>
            </w:pPr>
          </w:p>
        </w:tc>
      </w:tr>
      <w:tr w:rsidR="004E6B7E" w:rsidRPr="004E6B7E" w14:paraId="381127EB" w14:textId="77777777" w:rsidTr="00E12855">
        <w:tc>
          <w:tcPr>
            <w:tcW w:w="2689" w:type="dxa"/>
            <w:vMerge w:val="restart"/>
          </w:tcPr>
          <w:p w14:paraId="47368562"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Residential visit in the UK</w:t>
            </w:r>
          </w:p>
        </w:tc>
        <w:tc>
          <w:tcPr>
            <w:tcW w:w="1417" w:type="dxa"/>
          </w:tcPr>
          <w:p w14:paraId="11A7D62C"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FS2, Y1 -Y3</w:t>
            </w:r>
          </w:p>
        </w:tc>
        <w:tc>
          <w:tcPr>
            <w:tcW w:w="851" w:type="dxa"/>
          </w:tcPr>
          <w:p w14:paraId="6ED01A17"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1:6</w:t>
            </w:r>
          </w:p>
        </w:tc>
        <w:tc>
          <w:tcPr>
            <w:tcW w:w="5528" w:type="dxa"/>
            <w:vMerge w:val="restart"/>
          </w:tcPr>
          <w:p w14:paraId="4085E8D4"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 xml:space="preserve">Minimum of 2 accompanying adults </w:t>
            </w:r>
          </w:p>
          <w:p w14:paraId="6C41EC3F"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w:t>
            </w:r>
            <w:proofErr w:type="gramStart"/>
            <w:r w:rsidRPr="004E6B7E">
              <w:rPr>
                <w:rFonts w:ascii="Century Gothic" w:eastAsia="Calibri" w:hAnsi="Century Gothic" w:cstheme="minorHAnsi"/>
              </w:rPr>
              <w:t>with</w:t>
            </w:r>
            <w:proofErr w:type="gramEnd"/>
            <w:r w:rsidRPr="004E6B7E">
              <w:rPr>
                <w:rFonts w:ascii="Century Gothic" w:eastAsia="Calibri" w:hAnsi="Century Gothic" w:cstheme="minorHAnsi"/>
              </w:rPr>
              <w:t xml:space="preserve"> a mixed gender group, male and female staff should be present)</w:t>
            </w:r>
          </w:p>
        </w:tc>
      </w:tr>
      <w:tr w:rsidR="004E6B7E" w:rsidRPr="004E6B7E" w14:paraId="68B33D7D" w14:textId="77777777" w:rsidTr="00E12855">
        <w:tc>
          <w:tcPr>
            <w:tcW w:w="2689" w:type="dxa"/>
            <w:vMerge/>
          </w:tcPr>
          <w:p w14:paraId="0535461B" w14:textId="77777777" w:rsidR="004E6B7E" w:rsidRPr="004E6B7E" w:rsidRDefault="004E6B7E" w:rsidP="00E12855">
            <w:pPr>
              <w:spacing w:after="160"/>
              <w:contextualSpacing/>
              <w:rPr>
                <w:rFonts w:ascii="Century Gothic" w:eastAsia="Calibri" w:hAnsi="Century Gothic" w:cstheme="minorHAnsi"/>
              </w:rPr>
            </w:pPr>
          </w:p>
        </w:tc>
        <w:tc>
          <w:tcPr>
            <w:tcW w:w="1417" w:type="dxa"/>
          </w:tcPr>
          <w:p w14:paraId="67CF2437"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Y4-Y6</w:t>
            </w:r>
          </w:p>
        </w:tc>
        <w:tc>
          <w:tcPr>
            <w:tcW w:w="851" w:type="dxa"/>
          </w:tcPr>
          <w:p w14:paraId="10AD4AD8"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1:10</w:t>
            </w:r>
          </w:p>
        </w:tc>
        <w:tc>
          <w:tcPr>
            <w:tcW w:w="5528" w:type="dxa"/>
            <w:vMerge/>
          </w:tcPr>
          <w:p w14:paraId="631CF36B" w14:textId="77777777" w:rsidR="004E6B7E" w:rsidRPr="004E6B7E" w:rsidRDefault="004E6B7E" w:rsidP="00E12855">
            <w:pPr>
              <w:spacing w:after="160"/>
              <w:contextualSpacing/>
              <w:rPr>
                <w:rFonts w:ascii="Century Gothic" w:eastAsia="Calibri" w:hAnsi="Century Gothic" w:cstheme="minorHAnsi"/>
              </w:rPr>
            </w:pPr>
          </w:p>
        </w:tc>
      </w:tr>
      <w:tr w:rsidR="004E6B7E" w:rsidRPr="004E6B7E" w14:paraId="182A23CC" w14:textId="77777777" w:rsidTr="00E12855">
        <w:tc>
          <w:tcPr>
            <w:tcW w:w="2689" w:type="dxa"/>
            <w:vMerge w:val="restart"/>
          </w:tcPr>
          <w:p w14:paraId="3F4ADAA6"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Camping in the UK</w:t>
            </w:r>
          </w:p>
        </w:tc>
        <w:tc>
          <w:tcPr>
            <w:tcW w:w="1417" w:type="dxa"/>
          </w:tcPr>
          <w:p w14:paraId="35B2DDE9"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FS2, Y1 – Y3</w:t>
            </w:r>
          </w:p>
        </w:tc>
        <w:tc>
          <w:tcPr>
            <w:tcW w:w="851" w:type="dxa"/>
          </w:tcPr>
          <w:p w14:paraId="29F7F1B0"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1:6</w:t>
            </w:r>
          </w:p>
        </w:tc>
        <w:tc>
          <w:tcPr>
            <w:tcW w:w="5528" w:type="dxa"/>
            <w:vMerge w:val="restart"/>
          </w:tcPr>
          <w:p w14:paraId="27FFAFB3"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 xml:space="preserve">Minimum of 2 accompanying adults </w:t>
            </w:r>
          </w:p>
          <w:p w14:paraId="170439CD"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w:t>
            </w:r>
            <w:proofErr w:type="gramStart"/>
            <w:r w:rsidRPr="004E6B7E">
              <w:rPr>
                <w:rFonts w:ascii="Century Gothic" w:eastAsia="Calibri" w:hAnsi="Century Gothic" w:cstheme="minorHAnsi"/>
              </w:rPr>
              <w:t>with</w:t>
            </w:r>
            <w:proofErr w:type="gramEnd"/>
            <w:r w:rsidRPr="004E6B7E">
              <w:rPr>
                <w:rFonts w:ascii="Century Gothic" w:eastAsia="Calibri" w:hAnsi="Century Gothic" w:cstheme="minorHAnsi"/>
              </w:rPr>
              <w:t xml:space="preserve"> a mixed gender group, male and female staff should be present)</w:t>
            </w:r>
          </w:p>
        </w:tc>
      </w:tr>
      <w:tr w:rsidR="004E6B7E" w:rsidRPr="004E6B7E" w14:paraId="03E6D86B" w14:textId="77777777" w:rsidTr="00E12855">
        <w:tc>
          <w:tcPr>
            <w:tcW w:w="2689" w:type="dxa"/>
            <w:vMerge/>
          </w:tcPr>
          <w:p w14:paraId="23AC1709" w14:textId="77777777" w:rsidR="004E6B7E" w:rsidRPr="004E6B7E" w:rsidRDefault="004E6B7E" w:rsidP="00E12855">
            <w:pPr>
              <w:spacing w:after="160"/>
              <w:contextualSpacing/>
              <w:rPr>
                <w:rFonts w:ascii="Century Gothic" w:eastAsia="Calibri" w:hAnsi="Century Gothic" w:cstheme="minorHAnsi"/>
              </w:rPr>
            </w:pPr>
          </w:p>
        </w:tc>
        <w:tc>
          <w:tcPr>
            <w:tcW w:w="1417" w:type="dxa"/>
          </w:tcPr>
          <w:p w14:paraId="1BFC8A84"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Y4 – Y6</w:t>
            </w:r>
          </w:p>
        </w:tc>
        <w:tc>
          <w:tcPr>
            <w:tcW w:w="851" w:type="dxa"/>
          </w:tcPr>
          <w:p w14:paraId="425AA00D"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1:10</w:t>
            </w:r>
          </w:p>
        </w:tc>
        <w:tc>
          <w:tcPr>
            <w:tcW w:w="5528" w:type="dxa"/>
            <w:vMerge/>
          </w:tcPr>
          <w:p w14:paraId="29BAF21C" w14:textId="77777777" w:rsidR="004E6B7E" w:rsidRPr="004E6B7E" w:rsidRDefault="004E6B7E" w:rsidP="00E12855">
            <w:pPr>
              <w:spacing w:after="160"/>
              <w:contextualSpacing/>
              <w:rPr>
                <w:rFonts w:ascii="Century Gothic" w:eastAsia="Calibri" w:hAnsi="Century Gothic" w:cstheme="minorHAnsi"/>
              </w:rPr>
            </w:pPr>
          </w:p>
        </w:tc>
      </w:tr>
      <w:tr w:rsidR="004E6B7E" w:rsidRPr="004E6B7E" w14:paraId="7FCE0186" w14:textId="77777777" w:rsidTr="00E12855">
        <w:tc>
          <w:tcPr>
            <w:tcW w:w="2689" w:type="dxa"/>
            <w:vMerge w:val="restart"/>
          </w:tcPr>
          <w:p w14:paraId="4A0935D8"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 xml:space="preserve">Overseas visit </w:t>
            </w:r>
          </w:p>
        </w:tc>
        <w:tc>
          <w:tcPr>
            <w:tcW w:w="1417" w:type="dxa"/>
          </w:tcPr>
          <w:p w14:paraId="5E63896A"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FS2, Y1 – Y3</w:t>
            </w:r>
          </w:p>
        </w:tc>
        <w:tc>
          <w:tcPr>
            <w:tcW w:w="851" w:type="dxa"/>
          </w:tcPr>
          <w:p w14:paraId="2B9BA191"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1:6</w:t>
            </w:r>
          </w:p>
        </w:tc>
        <w:tc>
          <w:tcPr>
            <w:tcW w:w="5528" w:type="dxa"/>
            <w:vMerge w:val="restart"/>
          </w:tcPr>
          <w:p w14:paraId="0C920D66"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 xml:space="preserve">Minimum of 2 accompanying adults </w:t>
            </w:r>
          </w:p>
          <w:p w14:paraId="5A18ADBD" w14:textId="77777777" w:rsidR="004E6B7E" w:rsidRPr="004E6B7E" w:rsidRDefault="004E6B7E" w:rsidP="00E12855">
            <w:pPr>
              <w:spacing w:after="160"/>
              <w:contextualSpacing/>
              <w:rPr>
                <w:rFonts w:ascii="Century Gothic" w:eastAsia="Calibri" w:hAnsi="Century Gothic" w:cstheme="minorHAnsi"/>
              </w:rPr>
            </w:pPr>
            <w:r w:rsidRPr="004E6B7E">
              <w:rPr>
                <w:rFonts w:ascii="Century Gothic" w:eastAsia="Calibri" w:hAnsi="Century Gothic" w:cstheme="minorHAnsi"/>
              </w:rPr>
              <w:t>(</w:t>
            </w:r>
            <w:proofErr w:type="gramStart"/>
            <w:r w:rsidRPr="004E6B7E">
              <w:rPr>
                <w:rFonts w:ascii="Century Gothic" w:eastAsia="Calibri" w:hAnsi="Century Gothic" w:cstheme="minorHAnsi"/>
              </w:rPr>
              <w:t>with</w:t>
            </w:r>
            <w:proofErr w:type="gramEnd"/>
            <w:r w:rsidRPr="004E6B7E">
              <w:rPr>
                <w:rFonts w:ascii="Century Gothic" w:eastAsia="Calibri" w:hAnsi="Century Gothic" w:cstheme="minorHAnsi"/>
              </w:rPr>
              <w:t xml:space="preserve"> a mixed gender group, male and female staff should be present)</w:t>
            </w:r>
          </w:p>
        </w:tc>
      </w:tr>
      <w:tr w:rsidR="004E6B7E" w:rsidRPr="004E6B7E" w14:paraId="3E4182AB" w14:textId="77777777" w:rsidTr="00E12855">
        <w:tc>
          <w:tcPr>
            <w:tcW w:w="2689" w:type="dxa"/>
            <w:vMerge/>
          </w:tcPr>
          <w:p w14:paraId="1D1D7807" w14:textId="77777777" w:rsidR="004E6B7E" w:rsidRPr="004E6B7E" w:rsidRDefault="004E6B7E" w:rsidP="00E12855">
            <w:pPr>
              <w:spacing w:after="160"/>
              <w:contextualSpacing/>
              <w:rPr>
                <w:rFonts w:ascii="Century Gothic" w:eastAsia="Calibri" w:hAnsi="Century Gothic" w:cstheme="minorHAnsi"/>
              </w:rPr>
            </w:pPr>
          </w:p>
        </w:tc>
        <w:tc>
          <w:tcPr>
            <w:tcW w:w="1417" w:type="dxa"/>
          </w:tcPr>
          <w:p w14:paraId="0E92723F"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Y4 – Y6</w:t>
            </w:r>
          </w:p>
        </w:tc>
        <w:tc>
          <w:tcPr>
            <w:tcW w:w="851" w:type="dxa"/>
          </w:tcPr>
          <w:p w14:paraId="23359C3A" w14:textId="77777777" w:rsidR="004E6B7E" w:rsidRPr="004E6B7E" w:rsidRDefault="004E6B7E" w:rsidP="00E12855">
            <w:pPr>
              <w:spacing w:after="160"/>
              <w:contextualSpacing/>
              <w:jc w:val="center"/>
              <w:rPr>
                <w:rFonts w:ascii="Century Gothic" w:eastAsia="Calibri" w:hAnsi="Century Gothic" w:cstheme="minorHAnsi"/>
              </w:rPr>
            </w:pPr>
            <w:r w:rsidRPr="004E6B7E">
              <w:rPr>
                <w:rFonts w:ascii="Century Gothic" w:eastAsia="Calibri" w:hAnsi="Century Gothic" w:cstheme="minorHAnsi"/>
              </w:rPr>
              <w:t>1:10</w:t>
            </w:r>
          </w:p>
        </w:tc>
        <w:tc>
          <w:tcPr>
            <w:tcW w:w="5528" w:type="dxa"/>
            <w:vMerge/>
          </w:tcPr>
          <w:p w14:paraId="5AB71F88" w14:textId="77777777" w:rsidR="004E6B7E" w:rsidRPr="004E6B7E" w:rsidRDefault="004E6B7E" w:rsidP="00E12855">
            <w:pPr>
              <w:spacing w:after="160"/>
              <w:contextualSpacing/>
              <w:rPr>
                <w:rFonts w:ascii="Century Gothic" w:eastAsia="Calibri" w:hAnsi="Century Gothic" w:cstheme="minorHAnsi"/>
              </w:rPr>
            </w:pPr>
          </w:p>
        </w:tc>
      </w:tr>
    </w:tbl>
    <w:p w14:paraId="723EA0ED" w14:textId="77777777" w:rsidR="004E6B7E" w:rsidRPr="004E6B7E" w:rsidRDefault="004E6B7E" w:rsidP="004E6B7E">
      <w:pPr>
        <w:contextualSpacing/>
        <w:rPr>
          <w:rFonts w:ascii="Century Gothic" w:eastAsia="Calibri" w:hAnsi="Century Gothic" w:cstheme="minorHAnsi"/>
          <w:b/>
        </w:rPr>
      </w:pPr>
    </w:p>
    <w:p w14:paraId="67B096E3" w14:textId="77777777" w:rsidR="004E6B7E" w:rsidRPr="004E6B7E" w:rsidRDefault="004E6B7E" w:rsidP="004E6B7E">
      <w:pPr>
        <w:contextualSpacing/>
        <w:rPr>
          <w:rFonts w:ascii="Century Gothic" w:eastAsia="Calibri" w:hAnsi="Century Gothic" w:cstheme="minorHAnsi"/>
        </w:rPr>
      </w:pPr>
    </w:p>
    <w:p w14:paraId="7C9966CA"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These ratios are the minimum and risk assessment planning should ensure that there are sufficient leaders and supervisors to cope effectively with an emergency.</w:t>
      </w:r>
    </w:p>
    <w:p w14:paraId="24095BE7" w14:textId="77777777" w:rsidR="004E6B7E" w:rsidRPr="004E6B7E" w:rsidRDefault="004E6B7E" w:rsidP="004E6B7E">
      <w:pPr>
        <w:contextualSpacing/>
        <w:rPr>
          <w:rFonts w:ascii="Century Gothic" w:eastAsia="Calibri" w:hAnsi="Century Gothic" w:cstheme="minorHAnsi"/>
        </w:rPr>
      </w:pPr>
    </w:p>
    <w:p w14:paraId="161784F6"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Parents as members of the Supervising Team</w:t>
      </w:r>
    </w:p>
    <w:p w14:paraId="1F549541"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If any of the Supervision Team are also parents of pupils taking part, the potential exists for parental instincts to compromise the group management of the visit, particularly if there is a serious incident where leaders may be distracted by the needs of their own child. This should be covered in any risk assessment and management decisions and unless it is part of an agreed plan, situations where the leadership role gives direct responsibility for their own child should be avoided. Ratios may need to be revised to meet this situation.</w:t>
      </w:r>
    </w:p>
    <w:p w14:paraId="0AEEA7D2" w14:textId="77777777" w:rsidR="004E6B7E" w:rsidRPr="004E6B7E" w:rsidRDefault="004E6B7E" w:rsidP="004E6B7E">
      <w:pPr>
        <w:contextualSpacing/>
        <w:rPr>
          <w:rFonts w:ascii="Century Gothic" w:eastAsia="Calibri" w:hAnsi="Century Gothic" w:cstheme="minorHAnsi"/>
        </w:rPr>
      </w:pPr>
    </w:p>
    <w:p w14:paraId="00A8E887"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Parents or guardians providing care or medical support during an educational visit</w:t>
      </w:r>
    </w:p>
    <w:p w14:paraId="6AED303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If any young person attending the visit is to be accompanied by their parent or guardian in a </w:t>
      </w:r>
      <w:proofErr w:type="gramStart"/>
      <w:r w:rsidRPr="004E6B7E">
        <w:rPr>
          <w:rFonts w:ascii="Century Gothic" w:eastAsia="Calibri" w:hAnsi="Century Gothic" w:cstheme="minorHAnsi"/>
        </w:rPr>
        <w:t>one to one</w:t>
      </w:r>
      <w:proofErr w:type="gramEnd"/>
      <w:r w:rsidRPr="004E6B7E">
        <w:rPr>
          <w:rFonts w:ascii="Century Gothic" w:eastAsia="Calibri" w:hAnsi="Century Gothic" w:cstheme="minorHAnsi"/>
        </w:rPr>
        <w:t xml:space="preserve"> caring / medical needs capacity, this adult cannot be included in the ratio of supervising adults appropriate for the visit. </w:t>
      </w:r>
    </w:p>
    <w:p w14:paraId="285FE8DB" w14:textId="77777777" w:rsidR="004E6B7E" w:rsidRPr="004E6B7E" w:rsidRDefault="004E6B7E" w:rsidP="004E6B7E">
      <w:pPr>
        <w:contextualSpacing/>
        <w:rPr>
          <w:rFonts w:ascii="Century Gothic" w:eastAsia="Calibri" w:hAnsi="Century Gothic" w:cstheme="minorHAnsi"/>
        </w:rPr>
      </w:pPr>
    </w:p>
    <w:p w14:paraId="0274D907" w14:textId="77777777" w:rsidR="004E6B7E" w:rsidRPr="004E6B7E" w:rsidRDefault="004E6B7E" w:rsidP="004E6B7E">
      <w:pPr>
        <w:contextualSpacing/>
        <w:rPr>
          <w:rFonts w:ascii="Century Gothic" w:eastAsia="Calibri" w:hAnsi="Century Gothic" w:cstheme="minorHAnsi"/>
          <w:b/>
        </w:rPr>
      </w:pPr>
      <w:r w:rsidRPr="004E6B7E">
        <w:rPr>
          <w:rFonts w:ascii="Century Gothic" w:eastAsia="Calibri" w:hAnsi="Century Gothic" w:cstheme="minorHAnsi"/>
          <w:b/>
        </w:rPr>
        <w:t>Supervising Adventurous Activities</w:t>
      </w:r>
    </w:p>
    <w:p w14:paraId="57B68F40"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These ratios above are for pastoral support purposes and do not include activity technical instructors. Where Visit Leaders are also acting as technical instructors, the numbers of adults needed should be reviewed. The ratio of leaders and adult supervisors to pupils and young people for specific outdoor activities varies according to the activity to be undertaken. Full details of leader/pupil ratios are given in the Guidance Notes in EVOLVE. </w:t>
      </w:r>
    </w:p>
    <w:p w14:paraId="11A25C74" w14:textId="77777777" w:rsidR="004E6B7E" w:rsidRPr="004E6B7E" w:rsidRDefault="004E6B7E" w:rsidP="004E6B7E">
      <w:pPr>
        <w:contextualSpacing/>
        <w:rPr>
          <w:rFonts w:ascii="Century Gothic" w:eastAsia="Calibri" w:hAnsi="Century Gothic" w:cstheme="minorHAnsi"/>
        </w:rPr>
      </w:pPr>
    </w:p>
    <w:p w14:paraId="1CC17C39" w14:textId="77777777" w:rsidR="004E6B7E" w:rsidRPr="004E6B7E" w:rsidRDefault="004E6B7E" w:rsidP="004E6B7E">
      <w:pPr>
        <w:contextualSpacing/>
        <w:rPr>
          <w:rFonts w:ascii="Century Gothic" w:eastAsia="Calibri" w:hAnsi="Century Gothic" w:cstheme="minorHAnsi"/>
        </w:rPr>
      </w:pPr>
      <w:r w:rsidRPr="004E6B7E">
        <w:rPr>
          <w:rFonts w:ascii="Century Gothic" w:eastAsia="Calibri" w:hAnsi="Century Gothic" w:cstheme="minorHAnsi"/>
        </w:rPr>
        <w:t xml:space="preserve">Where an adventurous activity is provided by an External Provider, the technical instructors cannot be included in the supervision ratio and the expectation is that the technical instructors will be supported by the school Supervision Team to provide pastoral support to the group. </w:t>
      </w:r>
    </w:p>
    <w:p w14:paraId="45C76562" w14:textId="77777777" w:rsidR="004E6B7E" w:rsidRPr="004E6B7E" w:rsidRDefault="004E6B7E" w:rsidP="004E6B7E">
      <w:pPr>
        <w:contextualSpacing/>
        <w:rPr>
          <w:rFonts w:ascii="Century Gothic" w:eastAsia="Calibri" w:hAnsi="Century Gothic" w:cstheme="minorHAnsi"/>
        </w:rPr>
      </w:pPr>
    </w:p>
    <w:p w14:paraId="0D892FCE" w14:textId="77777777" w:rsidR="004E6B7E" w:rsidRPr="004E6B7E" w:rsidRDefault="004E6B7E" w:rsidP="004E6B7E">
      <w:pPr>
        <w:rPr>
          <w:rFonts w:ascii="Century Gothic" w:hAnsi="Century Gothic" w:cstheme="minorHAnsi"/>
          <w:b/>
        </w:rPr>
      </w:pPr>
      <w:r w:rsidRPr="004E6B7E">
        <w:rPr>
          <w:rFonts w:ascii="Century Gothic" w:hAnsi="Century Gothic" w:cstheme="minorHAnsi"/>
          <w:b/>
        </w:rPr>
        <w:t>Consumption of alcohol or other substances likely to impair judgement in relation to duty of care</w:t>
      </w:r>
    </w:p>
    <w:p w14:paraId="62FBA516" w14:textId="77777777" w:rsidR="004E6B7E" w:rsidRPr="004E6B7E" w:rsidRDefault="004E6B7E" w:rsidP="004E6B7E">
      <w:pPr>
        <w:rPr>
          <w:rFonts w:ascii="Century Gothic" w:hAnsi="Century Gothic" w:cstheme="minorHAnsi"/>
          <w:color w:val="FF0000"/>
        </w:rPr>
      </w:pPr>
    </w:p>
    <w:p w14:paraId="6AF9201F" w14:textId="77777777" w:rsidR="004E6B7E" w:rsidRPr="004E6B7E" w:rsidRDefault="004E6B7E" w:rsidP="004E6B7E">
      <w:pPr>
        <w:rPr>
          <w:rFonts w:ascii="Century Gothic" w:hAnsi="Century Gothic" w:cstheme="minorHAnsi"/>
          <w:b/>
          <w:color w:val="FF0000"/>
        </w:rPr>
      </w:pPr>
      <w:r w:rsidRPr="004E6B7E">
        <w:rPr>
          <w:rFonts w:ascii="Century Gothic" w:hAnsi="Century Gothic" w:cstheme="minorHAnsi"/>
          <w:b/>
          <w:color w:val="FF0000"/>
        </w:rPr>
        <w:t xml:space="preserve">No one participating in an educational visit should consume alcohol or other substances likely to impair their judgement. </w:t>
      </w:r>
    </w:p>
    <w:p w14:paraId="72522B03" w14:textId="77777777" w:rsidR="004E6B7E" w:rsidRPr="004E6B7E" w:rsidRDefault="004E6B7E" w:rsidP="004E6B7E">
      <w:pPr>
        <w:rPr>
          <w:rFonts w:ascii="Century Gothic" w:hAnsi="Century Gothic" w:cstheme="minorHAnsi"/>
          <w:i/>
          <w:iCs/>
        </w:rPr>
      </w:pPr>
    </w:p>
    <w:p w14:paraId="554905B4" w14:textId="77777777" w:rsidR="004E6B7E" w:rsidRPr="004E6B7E" w:rsidRDefault="004E6B7E" w:rsidP="004E6B7E">
      <w:pPr>
        <w:rPr>
          <w:rFonts w:ascii="Century Gothic" w:hAnsi="Century Gothic" w:cstheme="minorHAnsi"/>
        </w:rPr>
      </w:pPr>
      <w:r w:rsidRPr="004E6B7E">
        <w:rPr>
          <w:rFonts w:ascii="Century Gothic" w:hAnsi="Century Gothic" w:cstheme="minorHAnsi"/>
          <w:i/>
          <w:iCs/>
        </w:rPr>
        <w:t>“</w:t>
      </w:r>
      <w:proofErr w:type="gramStart"/>
      <w:r w:rsidRPr="004E6B7E">
        <w:rPr>
          <w:rFonts w:ascii="Century Gothic" w:hAnsi="Century Gothic" w:cstheme="minorHAnsi"/>
          <w:i/>
          <w:iCs/>
        </w:rPr>
        <w:t>if</w:t>
      </w:r>
      <w:proofErr w:type="gramEnd"/>
      <w:r w:rsidRPr="004E6B7E">
        <w:rPr>
          <w:rFonts w:ascii="Century Gothic" w:hAnsi="Century Gothic" w:cstheme="minorHAnsi"/>
          <w:i/>
          <w:iCs/>
        </w:rPr>
        <w:t xml:space="preserve"> a teacher consumes alcohol whilst responsible for pupils in his / her care, the impaired judgment of the teacher poses a risk to the pupils’ safety and is therefore in breach of Teachers Standards and that this role of responsibility is not negated by the fact that a member of staff may not have been specifically appointed to be on duty at the time”.</w:t>
      </w:r>
    </w:p>
    <w:p w14:paraId="6D6CAEB8" w14:textId="77777777" w:rsidR="004E6B7E" w:rsidRPr="004E6B7E" w:rsidRDefault="004E6B7E" w:rsidP="004E6B7E">
      <w:pPr>
        <w:jc w:val="right"/>
        <w:rPr>
          <w:rFonts w:ascii="Century Gothic" w:hAnsi="Century Gothic" w:cstheme="minorHAnsi"/>
        </w:rPr>
      </w:pPr>
    </w:p>
    <w:p w14:paraId="7D77AAFF" w14:textId="77777777" w:rsidR="004E6B7E" w:rsidRPr="004E6B7E" w:rsidRDefault="004E6B7E" w:rsidP="004E6B7E">
      <w:pPr>
        <w:rPr>
          <w:rFonts w:ascii="Century Gothic" w:hAnsi="Century Gothic" w:cstheme="minorHAnsi"/>
        </w:rPr>
      </w:pPr>
      <w:r w:rsidRPr="004E6B7E">
        <w:rPr>
          <w:rFonts w:ascii="Century Gothic" w:hAnsi="Century Gothic" w:cstheme="minorHAnsi"/>
        </w:rPr>
        <w:t xml:space="preserve">All staff and adult volunteers involved in the supervision and management of the educational visit must be made aware of this policy statement, the expectations of Governors and must agree to comply with this condition before they can be accepted as part of the Supervision Team. </w:t>
      </w:r>
    </w:p>
    <w:p w14:paraId="72E7F70A" w14:textId="77777777" w:rsidR="004E6B7E" w:rsidRPr="004E6B7E" w:rsidRDefault="004E6B7E" w:rsidP="004E6B7E">
      <w:pPr>
        <w:rPr>
          <w:rFonts w:ascii="Century Gothic" w:hAnsi="Century Gothic" w:cstheme="minorHAnsi"/>
        </w:rPr>
      </w:pPr>
    </w:p>
    <w:p w14:paraId="47FD24F5" w14:textId="77777777" w:rsidR="004E6B7E" w:rsidRPr="004E6B7E" w:rsidRDefault="004E6B7E" w:rsidP="004E6B7E">
      <w:pPr>
        <w:rPr>
          <w:rFonts w:ascii="Century Gothic" w:hAnsi="Century Gothic" w:cstheme="minorHAnsi"/>
        </w:rPr>
      </w:pPr>
      <w:r w:rsidRPr="004E6B7E">
        <w:rPr>
          <w:rFonts w:ascii="Century Gothic" w:hAnsi="Century Gothic" w:cstheme="minorHAnsi"/>
        </w:rPr>
        <w:t>All pupils and parents must be made aware of this policy statement as part of the planning of a trip and compliance should be included in the Code of Conduct contract signed by the pupil and parents prior to their participation in the educational visit.</w:t>
      </w:r>
    </w:p>
    <w:p w14:paraId="557F9B40" w14:textId="77777777" w:rsidR="004E6B7E" w:rsidRPr="004E6B7E" w:rsidRDefault="004E6B7E" w:rsidP="004E6B7E">
      <w:pPr>
        <w:rPr>
          <w:rFonts w:ascii="Century Gothic" w:hAnsi="Century Gothic" w:cstheme="minorHAnsi"/>
        </w:rPr>
      </w:pPr>
      <w:r w:rsidRPr="004E6B7E">
        <w:rPr>
          <w:rFonts w:ascii="Century Gothic" w:hAnsi="Century Gothic" w:cstheme="minorHAnsi"/>
        </w:rPr>
        <w:t xml:space="preserve"> </w:t>
      </w:r>
    </w:p>
    <w:p w14:paraId="1B73D4B2" w14:textId="77777777" w:rsidR="004E6B7E" w:rsidRPr="004E6B7E" w:rsidRDefault="004E6B7E" w:rsidP="004E6B7E">
      <w:pPr>
        <w:rPr>
          <w:rFonts w:ascii="Century Gothic" w:hAnsi="Century Gothic" w:cstheme="minorHAnsi"/>
        </w:rPr>
      </w:pPr>
      <w:r w:rsidRPr="004E6B7E">
        <w:rPr>
          <w:rFonts w:ascii="Century Gothic" w:hAnsi="Century Gothic" w:cstheme="minorHAnsi"/>
        </w:rPr>
        <w:lastRenderedPageBreak/>
        <w:t>If a member of staff consumes alcohol during an educational visit, this represents a breach in the statutory frameworks set out in teachers’ professional duties and responsibilities by the National College of Teachers and Lecturers Professional Conduct Panel and may therefore lead to formal disciplinary action.</w:t>
      </w:r>
    </w:p>
    <w:p w14:paraId="45B38076" w14:textId="77777777" w:rsidR="004E6B7E" w:rsidRPr="004E6B7E" w:rsidRDefault="004E6B7E" w:rsidP="004E6B7E">
      <w:pPr>
        <w:rPr>
          <w:rFonts w:ascii="Century Gothic" w:hAnsi="Century Gothic" w:cstheme="minorHAnsi"/>
        </w:rPr>
      </w:pPr>
    </w:p>
    <w:p w14:paraId="125419DE" w14:textId="77777777" w:rsidR="004E6B7E" w:rsidRPr="004E6B7E" w:rsidRDefault="004E6B7E" w:rsidP="004E6B7E">
      <w:pPr>
        <w:rPr>
          <w:rFonts w:ascii="Century Gothic" w:hAnsi="Century Gothic" w:cstheme="minorHAnsi"/>
        </w:rPr>
      </w:pPr>
      <w:r w:rsidRPr="004E6B7E">
        <w:rPr>
          <w:rFonts w:ascii="Century Gothic" w:hAnsi="Century Gothic" w:cstheme="minorHAnsi"/>
        </w:rPr>
        <w:t xml:space="preserve">If a volunteer </w:t>
      </w:r>
      <w:proofErr w:type="gramStart"/>
      <w:r w:rsidRPr="004E6B7E">
        <w:rPr>
          <w:rFonts w:ascii="Century Gothic" w:hAnsi="Century Gothic" w:cstheme="minorHAnsi"/>
        </w:rPr>
        <w:t>adult</w:t>
      </w:r>
      <w:proofErr w:type="gramEnd"/>
      <w:r w:rsidRPr="004E6B7E">
        <w:rPr>
          <w:rFonts w:ascii="Century Gothic" w:hAnsi="Century Gothic" w:cstheme="minorHAnsi"/>
        </w:rPr>
        <w:t xml:space="preserve"> then consumes alcohol during an educational visit, they will immediately by removed from the Supervision Team by the Visit Leader and will not be allowed to continue to work with the group. </w:t>
      </w:r>
    </w:p>
    <w:p w14:paraId="3F711BCF" w14:textId="77777777" w:rsidR="004E6B7E" w:rsidRPr="004E6B7E" w:rsidRDefault="004E6B7E" w:rsidP="004E6B7E">
      <w:pPr>
        <w:rPr>
          <w:rFonts w:ascii="Century Gothic" w:hAnsi="Century Gothic" w:cstheme="minorHAnsi"/>
        </w:rPr>
      </w:pPr>
    </w:p>
    <w:p w14:paraId="7144BCF2" w14:textId="77777777" w:rsidR="004E6B7E" w:rsidRPr="004E6B7E" w:rsidRDefault="004E6B7E" w:rsidP="004E6B7E">
      <w:pPr>
        <w:rPr>
          <w:rFonts w:ascii="Century Gothic" w:hAnsi="Century Gothic" w:cstheme="minorHAnsi"/>
        </w:rPr>
      </w:pPr>
      <w:r w:rsidRPr="004E6B7E">
        <w:rPr>
          <w:rFonts w:ascii="Century Gothic" w:hAnsi="Century Gothic" w:cstheme="minorHAnsi"/>
        </w:rPr>
        <w:t>If a pupil then consumes alcohol, they will immediately be removed from the visit, returned to school and will face further disciplinary action.</w:t>
      </w:r>
    </w:p>
    <w:p w14:paraId="75118D91" w14:textId="77777777" w:rsidR="004E6B7E" w:rsidRPr="004E6B7E" w:rsidRDefault="004E6B7E" w:rsidP="004E6B7E">
      <w:pPr>
        <w:contextualSpacing/>
        <w:rPr>
          <w:rFonts w:ascii="Century Gothic" w:eastAsia="Calibri" w:hAnsi="Century Gothic" w:cstheme="minorHAnsi"/>
          <w:b/>
        </w:rPr>
      </w:pPr>
    </w:p>
    <w:p w14:paraId="3D70E50B" w14:textId="77777777" w:rsidR="004E6B7E" w:rsidRPr="004E6B7E" w:rsidRDefault="004E6B7E" w:rsidP="004E6B7E">
      <w:pPr>
        <w:contextualSpacing/>
        <w:rPr>
          <w:rFonts w:ascii="Century Gothic" w:eastAsia="Calibri" w:hAnsi="Century Gothic" w:cstheme="minorHAnsi"/>
          <w:i/>
          <w:color w:val="FF0000"/>
        </w:rPr>
      </w:pPr>
      <w:r w:rsidRPr="004E6B7E">
        <w:rPr>
          <w:rFonts w:ascii="Century Gothic" w:eastAsia="Calibri" w:hAnsi="Century Gothic" w:cstheme="minorHAnsi"/>
          <w:i/>
          <w:color w:val="FF0000"/>
        </w:rPr>
        <w:t>This section is specific to the school and will include reference to protocols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37"/>
      </w:tblGrid>
      <w:tr w:rsidR="004E6B7E" w:rsidRPr="004E6B7E" w14:paraId="0EB8CDBB" w14:textId="77777777" w:rsidTr="00E12855">
        <w:tc>
          <w:tcPr>
            <w:tcW w:w="5228" w:type="dxa"/>
          </w:tcPr>
          <w:p w14:paraId="2F0FAA18" w14:textId="77777777" w:rsidR="004E6B7E" w:rsidRPr="004E6B7E" w:rsidRDefault="004E6B7E" w:rsidP="004E6B7E">
            <w:pPr>
              <w:pStyle w:val="ListParagraph"/>
              <w:numPr>
                <w:ilvl w:val="0"/>
                <w:numId w:val="30"/>
              </w:numPr>
              <w:spacing w:after="160" w:line="276" w:lineRule="auto"/>
              <w:rPr>
                <w:rFonts w:ascii="Century Gothic" w:hAnsi="Century Gothic" w:cstheme="minorHAnsi"/>
                <w:i/>
                <w:color w:val="FF0000"/>
              </w:rPr>
            </w:pPr>
            <w:r w:rsidRPr="004E6B7E">
              <w:rPr>
                <w:rFonts w:ascii="Century Gothic" w:hAnsi="Century Gothic" w:cstheme="minorHAnsi"/>
                <w:i/>
                <w:color w:val="FF0000"/>
              </w:rPr>
              <w:t>booking of transport</w:t>
            </w:r>
          </w:p>
          <w:p w14:paraId="06FD1F0F" w14:textId="77777777" w:rsidR="004E6B7E" w:rsidRPr="004E6B7E" w:rsidRDefault="004E6B7E" w:rsidP="004E6B7E">
            <w:pPr>
              <w:pStyle w:val="ListParagraph"/>
              <w:numPr>
                <w:ilvl w:val="0"/>
                <w:numId w:val="30"/>
              </w:numPr>
              <w:spacing w:after="160" w:line="276" w:lineRule="auto"/>
              <w:rPr>
                <w:rFonts w:ascii="Century Gothic" w:hAnsi="Century Gothic" w:cstheme="minorHAnsi"/>
                <w:i/>
                <w:color w:val="FF0000"/>
              </w:rPr>
            </w:pPr>
            <w:r w:rsidRPr="004E6B7E">
              <w:rPr>
                <w:rFonts w:ascii="Century Gothic" w:hAnsi="Century Gothic" w:cstheme="minorHAnsi"/>
                <w:i/>
                <w:color w:val="FF0000"/>
              </w:rPr>
              <w:t>registration of pupils</w:t>
            </w:r>
          </w:p>
          <w:p w14:paraId="379D28BD" w14:textId="77777777" w:rsidR="004E6B7E" w:rsidRPr="004E6B7E" w:rsidRDefault="004E6B7E" w:rsidP="004E6B7E">
            <w:pPr>
              <w:pStyle w:val="ListParagraph"/>
              <w:numPr>
                <w:ilvl w:val="0"/>
                <w:numId w:val="30"/>
              </w:numPr>
              <w:spacing w:after="160" w:line="276" w:lineRule="auto"/>
              <w:rPr>
                <w:rFonts w:ascii="Century Gothic" w:hAnsi="Century Gothic" w:cstheme="minorHAnsi"/>
                <w:i/>
                <w:color w:val="FF0000"/>
              </w:rPr>
            </w:pPr>
            <w:r w:rsidRPr="004E6B7E">
              <w:rPr>
                <w:rFonts w:ascii="Century Gothic" w:hAnsi="Century Gothic" w:cstheme="minorHAnsi"/>
                <w:i/>
                <w:color w:val="FF0000"/>
              </w:rPr>
              <w:t>managing medication</w:t>
            </w:r>
          </w:p>
          <w:p w14:paraId="2330AD88" w14:textId="77777777" w:rsidR="004E6B7E" w:rsidRPr="004E6B7E" w:rsidRDefault="004E6B7E" w:rsidP="004E6B7E">
            <w:pPr>
              <w:pStyle w:val="ListParagraph"/>
              <w:numPr>
                <w:ilvl w:val="0"/>
                <w:numId w:val="30"/>
              </w:numPr>
              <w:spacing w:after="160" w:line="276" w:lineRule="auto"/>
              <w:rPr>
                <w:rFonts w:ascii="Century Gothic" w:hAnsi="Century Gothic" w:cstheme="minorHAnsi"/>
                <w:i/>
                <w:color w:val="FF0000"/>
              </w:rPr>
            </w:pPr>
            <w:r w:rsidRPr="004E6B7E">
              <w:rPr>
                <w:rFonts w:ascii="Century Gothic" w:hAnsi="Century Gothic" w:cstheme="minorHAnsi"/>
                <w:i/>
                <w:color w:val="FF0000"/>
              </w:rPr>
              <w:t>supply cover</w:t>
            </w:r>
          </w:p>
          <w:p w14:paraId="1D7E1034" w14:textId="77777777" w:rsidR="004E6B7E" w:rsidRPr="004E6B7E" w:rsidRDefault="004E6B7E" w:rsidP="004E6B7E">
            <w:pPr>
              <w:pStyle w:val="ListParagraph"/>
              <w:numPr>
                <w:ilvl w:val="0"/>
                <w:numId w:val="30"/>
              </w:numPr>
              <w:spacing w:after="160" w:line="276" w:lineRule="auto"/>
              <w:rPr>
                <w:rFonts w:ascii="Century Gothic" w:hAnsi="Century Gothic" w:cstheme="minorHAnsi"/>
                <w:i/>
                <w:color w:val="FF0000"/>
              </w:rPr>
            </w:pPr>
            <w:r w:rsidRPr="004E6B7E">
              <w:rPr>
                <w:rFonts w:ascii="Century Gothic" w:hAnsi="Century Gothic" w:cstheme="minorHAnsi"/>
                <w:i/>
                <w:color w:val="FF0000"/>
              </w:rPr>
              <w:t>management of finance</w:t>
            </w:r>
          </w:p>
        </w:tc>
        <w:tc>
          <w:tcPr>
            <w:tcW w:w="5228" w:type="dxa"/>
          </w:tcPr>
          <w:p w14:paraId="08404D8C" w14:textId="77777777" w:rsidR="004E6B7E" w:rsidRPr="004E6B7E" w:rsidRDefault="004E6B7E" w:rsidP="00E12855">
            <w:pPr>
              <w:spacing w:after="160"/>
              <w:contextualSpacing/>
              <w:rPr>
                <w:rFonts w:ascii="Century Gothic" w:eastAsia="Calibri" w:hAnsi="Century Gothic" w:cstheme="minorHAnsi"/>
                <w:i/>
              </w:rPr>
            </w:pPr>
            <w:r w:rsidRPr="004E6B7E">
              <w:rPr>
                <w:rFonts w:ascii="Century Gothic" w:eastAsia="Calibri" w:hAnsi="Century Gothic" w:cstheme="minorHAnsi"/>
                <w:i/>
              </w:rPr>
              <w:t>For further information see;</w:t>
            </w:r>
          </w:p>
          <w:p w14:paraId="25EB9F3F" w14:textId="77777777" w:rsidR="004E6B7E" w:rsidRPr="004E6B7E" w:rsidRDefault="004E6B7E" w:rsidP="00E12855">
            <w:pPr>
              <w:spacing w:after="200"/>
              <w:contextualSpacing/>
              <w:rPr>
                <w:rFonts w:ascii="Century Gothic" w:eastAsia="Calibri" w:hAnsi="Century Gothic" w:cstheme="minorHAnsi"/>
                <w:b/>
              </w:rPr>
            </w:pPr>
            <w:hyperlink r:id="rId6" w:history="1">
              <w:r w:rsidRPr="004E6B7E">
                <w:rPr>
                  <w:rStyle w:val="Hyperlink"/>
                  <w:rFonts w:ascii="Century Gothic" w:eastAsia="Calibri" w:hAnsi="Century Gothic" w:cstheme="minorHAnsi"/>
                </w:rPr>
                <w:t>OEAP NG 4.5a Transport – general considerations</w:t>
              </w:r>
            </w:hyperlink>
          </w:p>
          <w:p w14:paraId="5B48EDE1" w14:textId="77777777" w:rsidR="004E6B7E" w:rsidRPr="004E6B7E" w:rsidRDefault="004E6B7E" w:rsidP="00E12855">
            <w:pPr>
              <w:spacing w:after="200"/>
              <w:contextualSpacing/>
              <w:rPr>
                <w:rFonts w:ascii="Century Gothic" w:eastAsia="Calibri" w:hAnsi="Century Gothic" w:cstheme="minorHAnsi"/>
                <w:b/>
              </w:rPr>
            </w:pPr>
            <w:hyperlink r:id="rId7" w:history="1">
              <w:r w:rsidRPr="004E6B7E">
                <w:rPr>
                  <w:rStyle w:val="Hyperlink"/>
                  <w:rFonts w:ascii="Century Gothic" w:eastAsia="Calibri" w:hAnsi="Century Gothic" w:cstheme="minorHAnsi"/>
                </w:rPr>
                <w:t>OEAP NG 4.5b Transport – minibuses</w:t>
              </w:r>
            </w:hyperlink>
          </w:p>
          <w:p w14:paraId="17DAC135" w14:textId="77777777" w:rsidR="004E6B7E" w:rsidRPr="004E6B7E" w:rsidRDefault="004E6B7E" w:rsidP="00E12855">
            <w:pPr>
              <w:spacing w:after="200"/>
              <w:contextualSpacing/>
              <w:rPr>
                <w:rFonts w:ascii="Century Gothic" w:eastAsia="Calibri" w:hAnsi="Century Gothic" w:cstheme="minorHAnsi"/>
                <w:b/>
              </w:rPr>
            </w:pPr>
            <w:hyperlink r:id="rId8" w:history="1">
              <w:r w:rsidRPr="004E6B7E">
                <w:rPr>
                  <w:rStyle w:val="Hyperlink"/>
                  <w:rFonts w:ascii="Century Gothic" w:eastAsia="Calibri" w:hAnsi="Century Gothic" w:cstheme="minorHAnsi"/>
                </w:rPr>
                <w:t>OEAP NG 4.5c Transport – in private cars</w:t>
              </w:r>
            </w:hyperlink>
          </w:p>
          <w:p w14:paraId="3E32DA62" w14:textId="77777777" w:rsidR="004E6B7E" w:rsidRPr="004E6B7E" w:rsidRDefault="004E6B7E" w:rsidP="00E12855">
            <w:pPr>
              <w:spacing w:after="160"/>
              <w:contextualSpacing/>
              <w:rPr>
                <w:rFonts w:ascii="Century Gothic" w:eastAsia="Calibri" w:hAnsi="Century Gothic" w:cstheme="minorHAnsi"/>
                <w:i/>
              </w:rPr>
            </w:pPr>
            <w:hyperlink r:id="rId9" w:history="1">
              <w:r w:rsidRPr="004E6B7E">
                <w:rPr>
                  <w:rStyle w:val="Hyperlink"/>
                  <w:rFonts w:ascii="Century Gothic" w:eastAsia="Calibri" w:hAnsi="Century Gothic" w:cstheme="minorHAnsi"/>
                </w:rPr>
                <w:t>OEAP NG 4.5d Transport – seatbelts and child restraints</w:t>
              </w:r>
            </w:hyperlink>
          </w:p>
          <w:p w14:paraId="3FF0AA0F" w14:textId="77777777" w:rsidR="004E6B7E" w:rsidRPr="004E6B7E" w:rsidRDefault="004E6B7E" w:rsidP="00E12855">
            <w:pPr>
              <w:spacing w:after="160"/>
              <w:rPr>
                <w:rFonts w:ascii="Century Gothic" w:hAnsi="Century Gothic" w:cstheme="minorHAnsi"/>
                <w:i/>
                <w:color w:val="FF0000"/>
              </w:rPr>
            </w:pPr>
            <w:hyperlink r:id="rId10" w:history="1">
              <w:r w:rsidRPr="004E6B7E">
                <w:rPr>
                  <w:rStyle w:val="Hyperlink"/>
                  <w:rFonts w:ascii="Century Gothic" w:eastAsia="Calibri" w:hAnsi="Century Gothic" w:cstheme="minorHAnsi"/>
                </w:rPr>
                <w:t>OEAP NG 4.4d Medication</w:t>
              </w:r>
            </w:hyperlink>
          </w:p>
        </w:tc>
      </w:tr>
    </w:tbl>
    <w:p w14:paraId="62B92EF6" w14:textId="77777777" w:rsidR="004E6B7E" w:rsidRPr="004E6B7E" w:rsidRDefault="004E6B7E" w:rsidP="004E6B7E">
      <w:pPr>
        <w:spacing w:after="200"/>
        <w:contextualSpacing/>
        <w:rPr>
          <w:rFonts w:ascii="Century Gothic" w:eastAsia="Calibri" w:hAnsi="Century Gothic" w:cstheme="minorHAnsi"/>
        </w:rPr>
      </w:pPr>
      <w:r w:rsidRPr="004E6B7E">
        <w:rPr>
          <w:rFonts w:ascii="Century Gothic" w:eastAsia="Calibri" w:hAnsi="Century Gothic" w:cstheme="minorHAnsi"/>
        </w:rPr>
        <w:br w:type="page"/>
      </w:r>
    </w:p>
    <w:p w14:paraId="16D1CDFB" w14:textId="77777777" w:rsidR="00253D80" w:rsidRPr="00A76019" w:rsidRDefault="00253D80" w:rsidP="00A76019">
      <w:pPr>
        <w:rPr>
          <w:rFonts w:ascii="Century Gothic" w:hAnsi="Century Gothic"/>
        </w:rPr>
      </w:pPr>
    </w:p>
    <w:sectPr w:rsidR="00253D80" w:rsidRPr="00A76019" w:rsidSect="00501C7B">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663A1"/>
    <w:multiLevelType w:val="hybridMultilevel"/>
    <w:tmpl w:val="BEF9E6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89DDBF"/>
    <w:multiLevelType w:val="hybridMultilevel"/>
    <w:tmpl w:val="23078B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669E40"/>
    <w:multiLevelType w:val="hybridMultilevel"/>
    <w:tmpl w:val="7483D7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D59FB8"/>
    <w:multiLevelType w:val="hybridMultilevel"/>
    <w:tmpl w:val="0E77DA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B85DAE"/>
    <w:multiLevelType w:val="hybridMultilevel"/>
    <w:tmpl w:val="B0369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587929"/>
    <w:multiLevelType w:val="hybridMultilevel"/>
    <w:tmpl w:val="C0B7B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16BD49"/>
    <w:multiLevelType w:val="hybridMultilevel"/>
    <w:tmpl w:val="90A271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00DD8"/>
    <w:multiLevelType w:val="hybridMultilevel"/>
    <w:tmpl w:val="9B27FE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56CE6B"/>
    <w:multiLevelType w:val="hybridMultilevel"/>
    <w:tmpl w:val="951E88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F32F1C"/>
    <w:multiLevelType w:val="hybridMultilevel"/>
    <w:tmpl w:val="565CFE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C960B02"/>
    <w:multiLevelType w:val="hybridMultilevel"/>
    <w:tmpl w:val="4ADE83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DD2E57"/>
    <w:multiLevelType w:val="hybridMultilevel"/>
    <w:tmpl w:val="1144BF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73315"/>
    <w:multiLevelType w:val="hybridMultilevel"/>
    <w:tmpl w:val="E52C8762"/>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216603"/>
    <w:multiLevelType w:val="hybridMultilevel"/>
    <w:tmpl w:val="91840276"/>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F5C90"/>
    <w:multiLevelType w:val="hybridMultilevel"/>
    <w:tmpl w:val="188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F2702E"/>
    <w:multiLevelType w:val="hybridMultilevel"/>
    <w:tmpl w:val="D2E077A4"/>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AF0EE"/>
    <w:multiLevelType w:val="hybridMultilevel"/>
    <w:tmpl w:val="0780A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259D54E"/>
    <w:multiLevelType w:val="hybridMultilevel"/>
    <w:tmpl w:val="1C2D3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8140BA"/>
    <w:multiLevelType w:val="multilevel"/>
    <w:tmpl w:val="9DEAB56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6E30943"/>
    <w:multiLevelType w:val="hybridMultilevel"/>
    <w:tmpl w:val="DF84577A"/>
    <w:lvl w:ilvl="0" w:tplc="1110FAEA">
      <w:start w:val="24"/>
      <w:numFmt w:val="bullet"/>
      <w:lvlText w:val="-"/>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A802D8"/>
    <w:multiLevelType w:val="hybridMultilevel"/>
    <w:tmpl w:val="7FFC80A6"/>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43417C"/>
    <w:multiLevelType w:val="hybridMultilevel"/>
    <w:tmpl w:val="EC9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D211B"/>
    <w:multiLevelType w:val="hybridMultilevel"/>
    <w:tmpl w:val="66E6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087E13"/>
    <w:multiLevelType w:val="hybridMultilevel"/>
    <w:tmpl w:val="0B36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E17CC"/>
    <w:multiLevelType w:val="hybridMultilevel"/>
    <w:tmpl w:val="3D0C89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7DF2E4"/>
    <w:multiLevelType w:val="hybridMultilevel"/>
    <w:tmpl w:val="70604E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E9F24DA"/>
    <w:multiLevelType w:val="multilevel"/>
    <w:tmpl w:val="B1A6A6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ACB0ADE"/>
    <w:multiLevelType w:val="hybridMultilevel"/>
    <w:tmpl w:val="19982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06F3A"/>
    <w:multiLevelType w:val="hybridMultilevel"/>
    <w:tmpl w:val="8F120BE8"/>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D0E64"/>
    <w:multiLevelType w:val="hybridMultilevel"/>
    <w:tmpl w:val="5FE628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1BE3C8"/>
    <w:multiLevelType w:val="hybridMultilevel"/>
    <w:tmpl w:val="B5BC3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89D8C6"/>
    <w:multiLevelType w:val="hybridMultilevel"/>
    <w:tmpl w:val="0E4FBC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0BB7AF8"/>
    <w:multiLevelType w:val="hybridMultilevel"/>
    <w:tmpl w:val="1D105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F05106"/>
    <w:multiLevelType w:val="hybridMultilevel"/>
    <w:tmpl w:val="24CCFCDA"/>
    <w:lvl w:ilvl="0" w:tplc="1110FAEA">
      <w:start w:val="2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1D2345"/>
    <w:multiLevelType w:val="hybridMultilevel"/>
    <w:tmpl w:val="89F85B2C"/>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EF1A27"/>
    <w:multiLevelType w:val="hybridMultilevel"/>
    <w:tmpl w:val="E5163DB6"/>
    <w:lvl w:ilvl="0" w:tplc="1110FAEA">
      <w:start w:val="2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4C6FDC"/>
    <w:multiLevelType w:val="hybridMultilevel"/>
    <w:tmpl w:val="2C52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D4865"/>
    <w:multiLevelType w:val="hybridMultilevel"/>
    <w:tmpl w:val="C1C2AA6C"/>
    <w:lvl w:ilvl="0" w:tplc="0809000F">
      <w:start w:val="1"/>
      <w:numFmt w:val="decimal"/>
      <w:lvlText w:val="%1."/>
      <w:lvlJc w:val="left"/>
      <w:pPr>
        <w:tabs>
          <w:tab w:val="num" w:pos="720"/>
        </w:tabs>
        <w:ind w:left="720" w:hanging="360"/>
      </w:pPr>
    </w:lvl>
    <w:lvl w:ilvl="1" w:tplc="8084B86E">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D6AA646"/>
    <w:multiLevelType w:val="hybridMultilevel"/>
    <w:tmpl w:val="32D984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EF5643B"/>
    <w:multiLevelType w:val="hybridMultilevel"/>
    <w:tmpl w:val="E4423BEE"/>
    <w:lvl w:ilvl="0" w:tplc="1110FAEA">
      <w:start w:val="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4"/>
  </w:num>
  <w:num w:numId="4">
    <w:abstractNumId w:val="21"/>
  </w:num>
  <w:num w:numId="5">
    <w:abstractNumId w:val="22"/>
  </w:num>
  <w:num w:numId="6">
    <w:abstractNumId w:val="18"/>
  </w:num>
  <w:num w:numId="7">
    <w:abstractNumId w:val="37"/>
  </w:num>
  <w:num w:numId="8">
    <w:abstractNumId w:val="36"/>
  </w:num>
  <w:num w:numId="9">
    <w:abstractNumId w:val="23"/>
  </w:num>
  <w:num w:numId="10">
    <w:abstractNumId w:val="27"/>
  </w:num>
  <w:num w:numId="11">
    <w:abstractNumId w:val="5"/>
  </w:num>
  <w:num w:numId="12">
    <w:abstractNumId w:val="16"/>
  </w:num>
  <w:num w:numId="13">
    <w:abstractNumId w:val="3"/>
  </w:num>
  <w:num w:numId="14">
    <w:abstractNumId w:val="7"/>
  </w:num>
  <w:num w:numId="15">
    <w:abstractNumId w:val="38"/>
  </w:num>
  <w:num w:numId="16">
    <w:abstractNumId w:val="29"/>
  </w:num>
  <w:num w:numId="17">
    <w:abstractNumId w:val="31"/>
  </w:num>
  <w:num w:numId="18">
    <w:abstractNumId w:val="17"/>
  </w:num>
  <w:num w:numId="19">
    <w:abstractNumId w:val="9"/>
  </w:num>
  <w:num w:numId="20">
    <w:abstractNumId w:val="2"/>
  </w:num>
  <w:num w:numId="21">
    <w:abstractNumId w:val="8"/>
  </w:num>
  <w:num w:numId="22">
    <w:abstractNumId w:val="1"/>
  </w:num>
  <w:num w:numId="23">
    <w:abstractNumId w:val="4"/>
  </w:num>
  <w:num w:numId="24">
    <w:abstractNumId w:val="30"/>
  </w:num>
  <w:num w:numId="25">
    <w:abstractNumId w:val="25"/>
  </w:num>
  <w:num w:numId="26">
    <w:abstractNumId w:val="0"/>
  </w:num>
  <w:num w:numId="27">
    <w:abstractNumId w:val="6"/>
  </w:num>
  <w:num w:numId="28">
    <w:abstractNumId w:val="32"/>
  </w:num>
  <w:num w:numId="29">
    <w:abstractNumId w:val="11"/>
  </w:num>
  <w:num w:numId="30">
    <w:abstractNumId w:val="20"/>
  </w:num>
  <w:num w:numId="31">
    <w:abstractNumId w:val="39"/>
  </w:num>
  <w:num w:numId="32">
    <w:abstractNumId w:val="35"/>
  </w:num>
  <w:num w:numId="33">
    <w:abstractNumId w:val="33"/>
  </w:num>
  <w:num w:numId="34">
    <w:abstractNumId w:val="12"/>
  </w:num>
  <w:num w:numId="35">
    <w:abstractNumId w:val="19"/>
  </w:num>
  <w:num w:numId="36">
    <w:abstractNumId w:val="28"/>
  </w:num>
  <w:num w:numId="37">
    <w:abstractNumId w:val="34"/>
  </w:num>
  <w:num w:numId="38">
    <w:abstractNumId w:val="15"/>
  </w:num>
  <w:num w:numId="39">
    <w:abstractNumId w:val="1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AC"/>
    <w:rsid w:val="000367CA"/>
    <w:rsid w:val="00043F6D"/>
    <w:rsid w:val="0006258B"/>
    <w:rsid w:val="0007241B"/>
    <w:rsid w:val="000A70C8"/>
    <w:rsid w:val="000D4BE5"/>
    <w:rsid w:val="000F73E8"/>
    <w:rsid w:val="00107AF8"/>
    <w:rsid w:val="00154D9C"/>
    <w:rsid w:val="00177FCE"/>
    <w:rsid w:val="001F6FA3"/>
    <w:rsid w:val="00211809"/>
    <w:rsid w:val="00241DAE"/>
    <w:rsid w:val="00253D80"/>
    <w:rsid w:val="002965BB"/>
    <w:rsid w:val="002F0D45"/>
    <w:rsid w:val="002F6FFF"/>
    <w:rsid w:val="003F27F2"/>
    <w:rsid w:val="00416BA1"/>
    <w:rsid w:val="00477C44"/>
    <w:rsid w:val="004C5097"/>
    <w:rsid w:val="004D5043"/>
    <w:rsid w:val="004E6B7E"/>
    <w:rsid w:val="00500C32"/>
    <w:rsid w:val="00501C7B"/>
    <w:rsid w:val="0051571F"/>
    <w:rsid w:val="005D3925"/>
    <w:rsid w:val="007724C0"/>
    <w:rsid w:val="008750B4"/>
    <w:rsid w:val="00883360"/>
    <w:rsid w:val="008D6B81"/>
    <w:rsid w:val="008E066A"/>
    <w:rsid w:val="00A22F14"/>
    <w:rsid w:val="00A5753E"/>
    <w:rsid w:val="00A7079B"/>
    <w:rsid w:val="00A76019"/>
    <w:rsid w:val="00AB3B1C"/>
    <w:rsid w:val="00BD66D7"/>
    <w:rsid w:val="00BD77B7"/>
    <w:rsid w:val="00BF17AC"/>
    <w:rsid w:val="00C21781"/>
    <w:rsid w:val="00CD04A1"/>
    <w:rsid w:val="00D14E86"/>
    <w:rsid w:val="00D20693"/>
    <w:rsid w:val="00E339F2"/>
    <w:rsid w:val="00E9465E"/>
    <w:rsid w:val="00EA5F2D"/>
    <w:rsid w:val="00EB7711"/>
    <w:rsid w:val="00EE7E77"/>
    <w:rsid w:val="00F92303"/>
    <w:rsid w:val="00FA01FC"/>
    <w:rsid w:val="00FD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BDAB"/>
  <w15:chartTrackingRefBased/>
  <w15:docId w15:val="{3A7A84FB-1248-427E-B06B-7CE19032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7AC"/>
    <w:pPr>
      <w:ind w:left="720"/>
      <w:contextualSpacing/>
    </w:pPr>
  </w:style>
  <w:style w:type="paragraph" w:customStyle="1" w:styleId="Default">
    <w:name w:val="Default"/>
    <w:rsid w:val="00043F6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rsid w:val="004E6B7E"/>
    <w:rPr>
      <w:color w:val="0000FF"/>
      <w:u w:val="single"/>
    </w:rPr>
  </w:style>
  <w:style w:type="table" w:styleId="TableGrid">
    <w:name w:val="Table Grid"/>
    <w:basedOn w:val="TableNormal"/>
    <w:uiPriority w:val="59"/>
    <w:rsid w:val="004E6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apng.info/download/1168/" TargetMode="External"/><Relationship Id="rId3" Type="http://schemas.openxmlformats.org/officeDocument/2006/relationships/settings" Target="settings.xml"/><Relationship Id="rId7" Type="http://schemas.openxmlformats.org/officeDocument/2006/relationships/hyperlink" Target="https://oeapng.info/download/11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eapng.info/download/116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oeapng.info/downloads/download-info/4-4d-medication/" TargetMode="External"/><Relationship Id="rId4" Type="http://schemas.openxmlformats.org/officeDocument/2006/relationships/webSettings" Target="webSettings.xml"/><Relationship Id="rId9" Type="http://schemas.openxmlformats.org/officeDocument/2006/relationships/hyperlink" Target="https://oeapng.info/download/2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BUNCE</dc:creator>
  <cp:keywords/>
  <dc:description/>
  <cp:lastModifiedBy>Admin</cp:lastModifiedBy>
  <cp:revision>2</cp:revision>
  <dcterms:created xsi:type="dcterms:W3CDTF">2025-07-15T13:32:00Z</dcterms:created>
  <dcterms:modified xsi:type="dcterms:W3CDTF">2025-07-15T13:32:00Z</dcterms:modified>
</cp:coreProperties>
</file>